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05B8" w14:textId="77777777" w:rsidR="00F53AB1" w:rsidRPr="00A85FEA" w:rsidRDefault="00F53AB1" w:rsidP="00A85FEA">
      <w:pPr>
        <w:jc w:val="center"/>
        <w:rPr>
          <w:rFonts w:cs="Arial"/>
          <w:szCs w:val="22"/>
        </w:rPr>
      </w:pPr>
    </w:p>
    <w:p w14:paraId="0E354B2C" w14:textId="77777777" w:rsidR="00F53AB1" w:rsidRPr="00A85FEA" w:rsidRDefault="00F53AB1" w:rsidP="00A85FEA">
      <w:pPr>
        <w:jc w:val="center"/>
        <w:rPr>
          <w:rFonts w:eastAsia="Calibri" w:cs="Arial"/>
          <w:szCs w:val="22"/>
        </w:rPr>
      </w:pPr>
      <w:r w:rsidRPr="00A85FEA">
        <w:rPr>
          <w:rFonts w:eastAsia="Calibri" w:cs="Arial"/>
          <w:szCs w:val="22"/>
        </w:rPr>
        <w:t>MANUAL DE POLÍTICAS CONTABLES</w:t>
      </w:r>
    </w:p>
    <w:p w14:paraId="2D919CF8" w14:textId="77777777" w:rsidR="00F53AB1" w:rsidRPr="00A85FEA" w:rsidRDefault="00F53AB1" w:rsidP="00A85FEA">
      <w:pPr>
        <w:jc w:val="center"/>
        <w:rPr>
          <w:rFonts w:cs="Arial"/>
          <w:szCs w:val="22"/>
        </w:rPr>
      </w:pPr>
    </w:p>
    <w:p w14:paraId="463FA298" w14:textId="77777777" w:rsidR="00F53AB1" w:rsidRPr="00A85FEA" w:rsidRDefault="00F53AB1" w:rsidP="00A85FEA">
      <w:pPr>
        <w:jc w:val="center"/>
        <w:rPr>
          <w:rFonts w:cs="Arial"/>
          <w:szCs w:val="22"/>
        </w:rPr>
      </w:pPr>
    </w:p>
    <w:p w14:paraId="124D8C85" w14:textId="77777777" w:rsidR="00F53AB1" w:rsidRPr="00A85FEA" w:rsidRDefault="00F53AB1" w:rsidP="00A85FEA">
      <w:pPr>
        <w:jc w:val="center"/>
        <w:rPr>
          <w:rFonts w:cs="Arial"/>
          <w:szCs w:val="22"/>
        </w:rPr>
      </w:pPr>
    </w:p>
    <w:p w14:paraId="441481FD" w14:textId="77777777" w:rsidR="00F53AB1" w:rsidRPr="00A85FEA" w:rsidRDefault="00F53AB1" w:rsidP="00A85FEA">
      <w:pPr>
        <w:jc w:val="center"/>
        <w:rPr>
          <w:rFonts w:cs="Arial"/>
          <w:szCs w:val="22"/>
        </w:rPr>
      </w:pPr>
    </w:p>
    <w:p w14:paraId="61CB9F2D" w14:textId="77777777" w:rsidR="00F53AB1" w:rsidRPr="00A85FEA" w:rsidRDefault="00F53AB1" w:rsidP="00A85FEA">
      <w:pPr>
        <w:jc w:val="center"/>
        <w:rPr>
          <w:rFonts w:cs="Arial"/>
          <w:szCs w:val="22"/>
        </w:rPr>
      </w:pPr>
    </w:p>
    <w:p w14:paraId="5BA65A23" w14:textId="77777777" w:rsidR="00F53AB1" w:rsidRPr="00A85FEA" w:rsidRDefault="00F53AB1" w:rsidP="00A85FEA">
      <w:pPr>
        <w:jc w:val="center"/>
        <w:rPr>
          <w:rFonts w:cs="Arial"/>
          <w:szCs w:val="22"/>
        </w:rPr>
      </w:pPr>
    </w:p>
    <w:p w14:paraId="17DCD3EC" w14:textId="77777777" w:rsidR="00F53AB1" w:rsidRPr="00A85FEA" w:rsidRDefault="00F53AB1" w:rsidP="00A85FEA">
      <w:pPr>
        <w:jc w:val="center"/>
        <w:rPr>
          <w:rFonts w:cs="Arial"/>
          <w:szCs w:val="22"/>
        </w:rPr>
      </w:pPr>
    </w:p>
    <w:p w14:paraId="0DBACB18" w14:textId="77777777" w:rsidR="00F53AB1" w:rsidRPr="00A85FEA" w:rsidRDefault="00F53AB1" w:rsidP="00A85FEA">
      <w:pPr>
        <w:jc w:val="center"/>
        <w:rPr>
          <w:rFonts w:cs="Arial"/>
          <w:szCs w:val="22"/>
        </w:rPr>
      </w:pPr>
    </w:p>
    <w:p w14:paraId="520E20B3" w14:textId="77777777" w:rsidR="00F53AB1" w:rsidRPr="00A85FEA" w:rsidRDefault="00F53AB1" w:rsidP="00A85FEA">
      <w:pPr>
        <w:jc w:val="center"/>
        <w:rPr>
          <w:rFonts w:cs="Arial"/>
          <w:szCs w:val="22"/>
        </w:rPr>
      </w:pPr>
    </w:p>
    <w:p w14:paraId="030949B9" w14:textId="77777777" w:rsidR="00F53AB1" w:rsidRPr="00A85FEA" w:rsidRDefault="00F53AB1" w:rsidP="00A85FEA">
      <w:pPr>
        <w:jc w:val="center"/>
        <w:rPr>
          <w:rFonts w:cs="Arial"/>
          <w:szCs w:val="22"/>
        </w:rPr>
      </w:pPr>
    </w:p>
    <w:p w14:paraId="165DF7C1" w14:textId="77777777" w:rsidR="00F53AB1" w:rsidRPr="00A85FEA" w:rsidRDefault="00F53AB1" w:rsidP="00A85FEA">
      <w:pPr>
        <w:jc w:val="center"/>
        <w:rPr>
          <w:rFonts w:cs="Arial"/>
          <w:szCs w:val="22"/>
        </w:rPr>
      </w:pPr>
    </w:p>
    <w:p w14:paraId="2DF66DC6" w14:textId="77777777" w:rsidR="00F53AB1" w:rsidRPr="00A85FEA" w:rsidRDefault="00F53AB1" w:rsidP="00A85FEA">
      <w:pPr>
        <w:jc w:val="center"/>
        <w:rPr>
          <w:rFonts w:cs="Arial"/>
          <w:szCs w:val="22"/>
        </w:rPr>
      </w:pPr>
    </w:p>
    <w:p w14:paraId="61DE1A6C" w14:textId="77777777" w:rsidR="00F53AB1" w:rsidRPr="00A85FEA" w:rsidRDefault="00F53AB1" w:rsidP="00A85FEA">
      <w:pPr>
        <w:jc w:val="center"/>
        <w:rPr>
          <w:rFonts w:cs="Arial"/>
          <w:szCs w:val="22"/>
        </w:rPr>
      </w:pPr>
      <w:r w:rsidRPr="00A85FEA">
        <w:rPr>
          <w:rFonts w:cs="Arial"/>
          <w:szCs w:val="22"/>
        </w:rPr>
        <w:t>MARCO NORMATIVO PARA ENTIDADES DE GOBIERNO, NORMAS PARA EL RECONOCIMIENTO, MEDICION, PRESENTACION Y REVELACION DE LOS HECHOS ECONOMICOS, RESOLUCION 533 DE 2015 Y SUS MODIFICACIONES DE LA CONTADURIA GENERAL DE LA NACION</w:t>
      </w:r>
    </w:p>
    <w:p w14:paraId="20A884BE" w14:textId="77777777" w:rsidR="00F53AB1" w:rsidRDefault="00F53AB1" w:rsidP="00A85FEA">
      <w:pPr>
        <w:jc w:val="center"/>
        <w:rPr>
          <w:rFonts w:cs="Arial"/>
          <w:szCs w:val="22"/>
        </w:rPr>
      </w:pPr>
    </w:p>
    <w:p w14:paraId="7BF928E3" w14:textId="77777777" w:rsidR="000032D9" w:rsidRDefault="000032D9" w:rsidP="00A85FEA">
      <w:pPr>
        <w:jc w:val="center"/>
        <w:rPr>
          <w:rFonts w:cs="Arial"/>
          <w:szCs w:val="22"/>
        </w:rPr>
      </w:pPr>
    </w:p>
    <w:p w14:paraId="20A291B1" w14:textId="77777777" w:rsidR="000032D9" w:rsidRDefault="000032D9" w:rsidP="00A85FEA">
      <w:pPr>
        <w:jc w:val="center"/>
        <w:rPr>
          <w:rFonts w:cs="Arial"/>
          <w:szCs w:val="22"/>
        </w:rPr>
      </w:pPr>
    </w:p>
    <w:p w14:paraId="17BBE548" w14:textId="77777777" w:rsidR="000032D9" w:rsidRDefault="000032D9" w:rsidP="00A85FEA">
      <w:pPr>
        <w:jc w:val="center"/>
        <w:rPr>
          <w:rFonts w:cs="Arial"/>
          <w:szCs w:val="22"/>
        </w:rPr>
      </w:pPr>
    </w:p>
    <w:p w14:paraId="1E57B48E" w14:textId="77777777" w:rsidR="000032D9" w:rsidRDefault="000032D9" w:rsidP="00A85FEA">
      <w:pPr>
        <w:jc w:val="center"/>
        <w:rPr>
          <w:rFonts w:cs="Arial"/>
          <w:szCs w:val="22"/>
        </w:rPr>
      </w:pPr>
    </w:p>
    <w:p w14:paraId="25B6644F" w14:textId="77777777" w:rsidR="000032D9" w:rsidRDefault="000032D9" w:rsidP="00A85FEA">
      <w:pPr>
        <w:jc w:val="center"/>
        <w:rPr>
          <w:rFonts w:cs="Arial"/>
          <w:szCs w:val="22"/>
        </w:rPr>
      </w:pPr>
    </w:p>
    <w:p w14:paraId="6132F16E" w14:textId="77777777" w:rsidR="000032D9" w:rsidRDefault="000032D9" w:rsidP="00A85FEA">
      <w:pPr>
        <w:jc w:val="center"/>
        <w:rPr>
          <w:rFonts w:cs="Arial"/>
          <w:szCs w:val="22"/>
        </w:rPr>
      </w:pPr>
    </w:p>
    <w:p w14:paraId="7A64F4C8" w14:textId="77777777" w:rsidR="000032D9" w:rsidRPr="00A85FEA" w:rsidRDefault="000032D9" w:rsidP="00A85FEA">
      <w:pPr>
        <w:jc w:val="center"/>
        <w:rPr>
          <w:rFonts w:cs="Arial"/>
          <w:szCs w:val="22"/>
        </w:rPr>
      </w:pPr>
    </w:p>
    <w:p w14:paraId="0E0F851C" w14:textId="77777777" w:rsidR="00F53AB1" w:rsidRPr="00A85FEA" w:rsidRDefault="00F53AB1" w:rsidP="00A85FEA">
      <w:pPr>
        <w:jc w:val="center"/>
        <w:rPr>
          <w:rFonts w:cs="Arial"/>
          <w:szCs w:val="22"/>
        </w:rPr>
      </w:pPr>
    </w:p>
    <w:p w14:paraId="04723EBE" w14:textId="77777777" w:rsidR="00F53AB1" w:rsidRPr="00A85FEA" w:rsidRDefault="00F53AB1" w:rsidP="00A85FEA">
      <w:pPr>
        <w:jc w:val="center"/>
        <w:rPr>
          <w:rFonts w:cs="Arial"/>
          <w:szCs w:val="22"/>
        </w:rPr>
      </w:pPr>
    </w:p>
    <w:p w14:paraId="2DDDC203" w14:textId="77777777" w:rsidR="000032D9" w:rsidRPr="000032D9" w:rsidRDefault="000032D9" w:rsidP="000032D9">
      <w:pPr>
        <w:jc w:val="center"/>
        <w:rPr>
          <w:szCs w:val="22"/>
        </w:rPr>
      </w:pPr>
      <w:r w:rsidRPr="000032D9">
        <w:rPr>
          <w:szCs w:val="22"/>
        </w:rPr>
        <w:t>PROCESO: ADMINISTRATIVA Y FINANCIERA</w:t>
      </w:r>
    </w:p>
    <w:p w14:paraId="2F68AF67" w14:textId="77777777" w:rsidR="000032D9" w:rsidRPr="000643B5" w:rsidRDefault="000032D9" w:rsidP="000032D9">
      <w:pPr>
        <w:jc w:val="center"/>
        <w:rPr>
          <w:b/>
          <w:szCs w:val="22"/>
        </w:rPr>
      </w:pPr>
    </w:p>
    <w:p w14:paraId="5E1DD2BD" w14:textId="77777777" w:rsidR="000032D9" w:rsidRPr="000643B5" w:rsidRDefault="000032D9" w:rsidP="000032D9">
      <w:pPr>
        <w:jc w:val="center"/>
        <w:rPr>
          <w:b/>
          <w:szCs w:val="22"/>
        </w:rPr>
      </w:pPr>
    </w:p>
    <w:p w14:paraId="392A9213" w14:textId="77777777" w:rsidR="00F53AB1" w:rsidRPr="00A85FEA" w:rsidRDefault="00F53AB1" w:rsidP="00A85FEA">
      <w:pPr>
        <w:jc w:val="center"/>
        <w:rPr>
          <w:rFonts w:cs="Arial"/>
          <w:szCs w:val="22"/>
        </w:rPr>
      </w:pPr>
    </w:p>
    <w:p w14:paraId="3132AE95" w14:textId="77777777" w:rsidR="00F53AB1" w:rsidRPr="00A85FEA" w:rsidRDefault="00F53AB1" w:rsidP="00A85FEA">
      <w:pPr>
        <w:jc w:val="center"/>
        <w:rPr>
          <w:rFonts w:cs="Arial"/>
          <w:szCs w:val="22"/>
        </w:rPr>
      </w:pPr>
    </w:p>
    <w:p w14:paraId="00604F24" w14:textId="77777777" w:rsidR="00F53AB1" w:rsidRPr="00A85FEA" w:rsidRDefault="00F53AB1" w:rsidP="00A85FEA">
      <w:pPr>
        <w:jc w:val="center"/>
        <w:rPr>
          <w:rFonts w:cs="Arial"/>
          <w:szCs w:val="22"/>
        </w:rPr>
      </w:pPr>
    </w:p>
    <w:p w14:paraId="09C8D6B9" w14:textId="77777777" w:rsidR="00F53AB1" w:rsidRPr="00A85FEA" w:rsidRDefault="00F53AB1" w:rsidP="00A85FEA">
      <w:pPr>
        <w:jc w:val="center"/>
        <w:rPr>
          <w:rFonts w:cs="Arial"/>
          <w:szCs w:val="22"/>
        </w:rPr>
      </w:pPr>
    </w:p>
    <w:p w14:paraId="78E224FD" w14:textId="77777777" w:rsidR="00F53AB1" w:rsidRPr="00A85FEA" w:rsidRDefault="00F53AB1" w:rsidP="00A85FEA">
      <w:pPr>
        <w:jc w:val="center"/>
        <w:rPr>
          <w:rFonts w:cs="Arial"/>
          <w:szCs w:val="22"/>
        </w:rPr>
      </w:pPr>
    </w:p>
    <w:p w14:paraId="16B1E574" w14:textId="77777777" w:rsidR="00F53AB1" w:rsidRPr="00A85FEA" w:rsidRDefault="00F53AB1" w:rsidP="00A85FEA">
      <w:pPr>
        <w:jc w:val="center"/>
        <w:rPr>
          <w:rFonts w:cs="Arial"/>
          <w:szCs w:val="22"/>
        </w:rPr>
      </w:pPr>
    </w:p>
    <w:p w14:paraId="41BC5EE5" w14:textId="77777777" w:rsidR="00F53AB1" w:rsidRDefault="00F53AB1" w:rsidP="00A85FEA">
      <w:pPr>
        <w:jc w:val="center"/>
        <w:rPr>
          <w:rFonts w:cs="Arial"/>
          <w:szCs w:val="22"/>
        </w:rPr>
      </w:pPr>
    </w:p>
    <w:p w14:paraId="7291432A" w14:textId="77777777" w:rsidR="000032D9" w:rsidRDefault="000032D9" w:rsidP="00A85FEA">
      <w:pPr>
        <w:jc w:val="center"/>
        <w:rPr>
          <w:rFonts w:cs="Arial"/>
          <w:szCs w:val="22"/>
        </w:rPr>
      </w:pPr>
    </w:p>
    <w:p w14:paraId="49CAA981" w14:textId="77777777" w:rsidR="000032D9" w:rsidRPr="00A85FEA" w:rsidRDefault="000032D9" w:rsidP="00A85FEA">
      <w:pPr>
        <w:jc w:val="center"/>
        <w:rPr>
          <w:rFonts w:cs="Arial"/>
          <w:szCs w:val="22"/>
        </w:rPr>
      </w:pPr>
    </w:p>
    <w:p w14:paraId="7ED58E74" w14:textId="77777777" w:rsidR="00F53AB1" w:rsidRPr="00A85FEA" w:rsidRDefault="00F53AB1" w:rsidP="00A85FEA">
      <w:pPr>
        <w:jc w:val="center"/>
        <w:rPr>
          <w:rFonts w:cs="Arial"/>
          <w:szCs w:val="22"/>
        </w:rPr>
      </w:pPr>
    </w:p>
    <w:p w14:paraId="61C6FB1D" w14:textId="77777777" w:rsidR="00F53AB1" w:rsidRPr="00A85FEA" w:rsidRDefault="00F53AB1" w:rsidP="00A85FEA">
      <w:pPr>
        <w:jc w:val="center"/>
        <w:rPr>
          <w:rFonts w:cs="Arial"/>
          <w:szCs w:val="22"/>
        </w:rPr>
      </w:pPr>
    </w:p>
    <w:p w14:paraId="299C74DB" w14:textId="77777777" w:rsidR="00F53AB1" w:rsidRPr="00A85FEA" w:rsidRDefault="00F53AB1" w:rsidP="00A85FEA">
      <w:pPr>
        <w:jc w:val="center"/>
        <w:rPr>
          <w:rFonts w:eastAsia="Calibri" w:cs="Arial"/>
          <w:szCs w:val="22"/>
        </w:rPr>
      </w:pPr>
      <w:r w:rsidRPr="00A85FEA">
        <w:rPr>
          <w:rFonts w:eastAsia="Calibri" w:cs="Arial"/>
          <w:szCs w:val="22"/>
        </w:rPr>
        <w:t>CORPORACION PARA EL DESARROLLO SOSTENIBLE DEL NORTE Y ORIENTE AMAZONICO - CDA</w:t>
      </w:r>
    </w:p>
    <w:p w14:paraId="723BCFEB" w14:textId="77777777" w:rsidR="00F53AB1" w:rsidRPr="00A85FEA" w:rsidRDefault="00F53AB1" w:rsidP="00A85FEA">
      <w:pPr>
        <w:jc w:val="center"/>
        <w:rPr>
          <w:rFonts w:eastAsia="Calibri" w:cs="Arial"/>
          <w:szCs w:val="22"/>
        </w:rPr>
      </w:pPr>
      <w:r w:rsidRPr="00A85FEA">
        <w:rPr>
          <w:rFonts w:eastAsia="Calibri" w:cs="Arial"/>
          <w:szCs w:val="22"/>
        </w:rPr>
        <w:t>COMITÉ TÉCNICO DE SOSTENIBILIDAD DEL SISTEMA CONTABLE</w:t>
      </w:r>
    </w:p>
    <w:p w14:paraId="7BA46CD1" w14:textId="77777777" w:rsidR="00F53AB1" w:rsidRPr="00A85FEA" w:rsidRDefault="00F53AB1" w:rsidP="00A85FEA">
      <w:pPr>
        <w:jc w:val="center"/>
        <w:rPr>
          <w:rFonts w:eastAsia="Calibri" w:cs="Arial"/>
          <w:szCs w:val="22"/>
        </w:rPr>
      </w:pPr>
      <w:r w:rsidRPr="00A85FEA">
        <w:rPr>
          <w:rFonts w:eastAsia="Calibri" w:cs="Arial"/>
          <w:szCs w:val="22"/>
        </w:rPr>
        <w:t>INIRIDA, GUAINIA</w:t>
      </w:r>
    </w:p>
    <w:p w14:paraId="6DEF9744" w14:textId="5E4F7743" w:rsidR="00F53AB1" w:rsidRPr="00A85FEA" w:rsidRDefault="00535B55" w:rsidP="00A85FEA">
      <w:pPr>
        <w:jc w:val="center"/>
        <w:rPr>
          <w:rFonts w:eastAsia="Calibri" w:cs="Arial"/>
          <w:szCs w:val="22"/>
        </w:rPr>
      </w:pPr>
      <w:r>
        <w:rPr>
          <w:rFonts w:eastAsia="Calibri" w:cs="Arial"/>
          <w:szCs w:val="22"/>
        </w:rPr>
        <w:t>20</w:t>
      </w:r>
      <w:r w:rsidR="00D24218">
        <w:rPr>
          <w:rFonts w:eastAsia="Calibri" w:cs="Arial"/>
          <w:szCs w:val="22"/>
        </w:rPr>
        <w:t>26</w:t>
      </w:r>
    </w:p>
    <w:p w14:paraId="1B8B09F6" w14:textId="77777777" w:rsidR="00F53AB1" w:rsidRPr="00A85FEA" w:rsidRDefault="00F53AB1" w:rsidP="00A85FEA">
      <w:pPr>
        <w:jc w:val="center"/>
        <w:rPr>
          <w:rFonts w:eastAsia="Calibri" w:cs="Arial"/>
          <w:szCs w:val="22"/>
        </w:rPr>
      </w:pPr>
    </w:p>
    <w:p w14:paraId="4009D864" w14:textId="77777777" w:rsidR="00F53AB1" w:rsidRPr="00A85FEA" w:rsidRDefault="00F53AB1" w:rsidP="00A85FEA">
      <w:pPr>
        <w:jc w:val="center"/>
        <w:rPr>
          <w:rFonts w:eastAsia="Calibri" w:cs="Arial"/>
          <w:szCs w:val="22"/>
        </w:rPr>
      </w:pPr>
    </w:p>
    <w:p w14:paraId="54BF4CBE" w14:textId="77777777" w:rsidR="00F53AB1" w:rsidRPr="00A85FEA" w:rsidRDefault="00F53AB1" w:rsidP="00D87929">
      <w:pPr>
        <w:rPr>
          <w:rFonts w:cs="Arial"/>
          <w:szCs w:val="22"/>
        </w:rPr>
      </w:pPr>
    </w:p>
    <w:sdt>
      <w:sdtPr>
        <w:rPr>
          <w:rFonts w:cs="Arial"/>
          <w:szCs w:val="22"/>
          <w:lang w:val="es-ES"/>
        </w:rPr>
        <w:id w:val="-1593082604"/>
        <w:docPartObj>
          <w:docPartGallery w:val="Table of Contents"/>
          <w:docPartUnique/>
        </w:docPartObj>
      </w:sdtPr>
      <w:sdtEndPr>
        <w:rPr>
          <w:bCs/>
        </w:rPr>
      </w:sdtEndPr>
      <w:sdtContent>
        <w:p w14:paraId="49EFFBC0" w14:textId="77777777" w:rsidR="00F53AB1" w:rsidRDefault="00F53AB1" w:rsidP="005B413F">
          <w:pPr>
            <w:jc w:val="center"/>
            <w:rPr>
              <w:rFonts w:cs="Arial"/>
              <w:szCs w:val="22"/>
              <w:lang w:val="es-ES"/>
            </w:rPr>
          </w:pPr>
          <w:r w:rsidRPr="00A85FEA">
            <w:rPr>
              <w:rFonts w:cs="Arial"/>
              <w:szCs w:val="22"/>
              <w:lang w:val="es-ES"/>
            </w:rPr>
            <w:t>Contenido</w:t>
          </w:r>
        </w:p>
        <w:p w14:paraId="1699CFB7" w14:textId="77777777" w:rsidR="005B413F" w:rsidRPr="00A85FEA" w:rsidRDefault="005B413F" w:rsidP="00D87929">
          <w:pPr>
            <w:rPr>
              <w:rFonts w:cs="Arial"/>
              <w:szCs w:val="22"/>
            </w:rPr>
          </w:pPr>
        </w:p>
        <w:p w14:paraId="25C26697" w14:textId="77777777" w:rsidR="00DE5FA4" w:rsidRDefault="00F53AB1">
          <w:pPr>
            <w:pStyle w:val="TDC1"/>
            <w:tabs>
              <w:tab w:val="right" w:pos="8830"/>
            </w:tabs>
            <w:rPr>
              <w:rFonts w:asciiTheme="minorHAnsi" w:eastAsiaTheme="minorEastAsia" w:hAnsiTheme="minorHAnsi" w:cstheme="minorBidi"/>
              <w:noProof/>
              <w:szCs w:val="22"/>
              <w:lang w:eastAsia="es-CO"/>
            </w:rPr>
          </w:pPr>
          <w:r w:rsidRPr="00A85FEA">
            <w:rPr>
              <w:rFonts w:cs="Arial"/>
              <w:szCs w:val="22"/>
            </w:rPr>
            <w:fldChar w:fldCharType="begin"/>
          </w:r>
          <w:r w:rsidRPr="00A85FEA">
            <w:rPr>
              <w:rFonts w:cs="Arial"/>
              <w:szCs w:val="22"/>
            </w:rPr>
            <w:instrText xml:space="preserve"> TOC \o "1-3" \h \z \u </w:instrText>
          </w:r>
          <w:r w:rsidRPr="00A85FEA">
            <w:rPr>
              <w:rFonts w:cs="Arial"/>
              <w:szCs w:val="22"/>
            </w:rPr>
            <w:fldChar w:fldCharType="separate"/>
          </w:r>
          <w:hyperlink w:anchor="_Toc525721300" w:history="1">
            <w:r w:rsidR="00DE5FA4" w:rsidRPr="00A62630">
              <w:rPr>
                <w:rStyle w:val="Hipervnculo"/>
                <w:rFonts w:cs="Arial"/>
                <w:noProof/>
              </w:rPr>
              <w:t>INFORMACION DOCUMENTAL</w:t>
            </w:r>
            <w:r w:rsidR="00DE5FA4">
              <w:rPr>
                <w:noProof/>
                <w:webHidden/>
              </w:rPr>
              <w:tab/>
            </w:r>
            <w:r w:rsidR="00DE5FA4">
              <w:rPr>
                <w:noProof/>
                <w:webHidden/>
              </w:rPr>
              <w:fldChar w:fldCharType="begin"/>
            </w:r>
            <w:r w:rsidR="00DE5FA4">
              <w:rPr>
                <w:noProof/>
                <w:webHidden/>
              </w:rPr>
              <w:instrText xml:space="preserve"> PAGEREF _Toc525721300 \h </w:instrText>
            </w:r>
            <w:r w:rsidR="00DE5FA4">
              <w:rPr>
                <w:noProof/>
                <w:webHidden/>
              </w:rPr>
            </w:r>
            <w:r w:rsidR="00DE5FA4">
              <w:rPr>
                <w:noProof/>
                <w:webHidden/>
              </w:rPr>
              <w:fldChar w:fldCharType="separate"/>
            </w:r>
            <w:r w:rsidR="00DE5FA4">
              <w:rPr>
                <w:noProof/>
                <w:webHidden/>
              </w:rPr>
              <w:t>10</w:t>
            </w:r>
            <w:r w:rsidR="00DE5FA4">
              <w:rPr>
                <w:noProof/>
                <w:webHidden/>
              </w:rPr>
              <w:fldChar w:fldCharType="end"/>
            </w:r>
          </w:hyperlink>
        </w:p>
        <w:p w14:paraId="2DE670CB"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301" w:history="1">
            <w:r w:rsidRPr="00A62630">
              <w:rPr>
                <w:rStyle w:val="Hipervnculo"/>
                <w:rFonts w:cs="Arial"/>
                <w:noProof/>
              </w:rPr>
              <w:t>1.</w:t>
            </w:r>
            <w:r>
              <w:rPr>
                <w:rFonts w:asciiTheme="minorHAnsi" w:eastAsiaTheme="minorEastAsia" w:hAnsiTheme="minorHAnsi" w:cstheme="minorBidi"/>
                <w:noProof/>
                <w:szCs w:val="22"/>
                <w:lang w:eastAsia="es-CO"/>
              </w:rPr>
              <w:tab/>
            </w:r>
            <w:r w:rsidRPr="00A62630">
              <w:rPr>
                <w:rStyle w:val="Hipervnculo"/>
                <w:rFonts w:cs="Arial"/>
                <w:noProof/>
              </w:rPr>
              <w:t>Objetivo</w:t>
            </w:r>
            <w:r>
              <w:rPr>
                <w:noProof/>
                <w:webHidden/>
              </w:rPr>
              <w:tab/>
            </w:r>
            <w:r>
              <w:rPr>
                <w:noProof/>
                <w:webHidden/>
              </w:rPr>
              <w:fldChar w:fldCharType="begin"/>
            </w:r>
            <w:r>
              <w:rPr>
                <w:noProof/>
                <w:webHidden/>
              </w:rPr>
              <w:instrText xml:space="preserve"> PAGEREF _Toc525721301 \h </w:instrText>
            </w:r>
            <w:r>
              <w:rPr>
                <w:noProof/>
                <w:webHidden/>
              </w:rPr>
            </w:r>
            <w:r>
              <w:rPr>
                <w:noProof/>
                <w:webHidden/>
              </w:rPr>
              <w:fldChar w:fldCharType="separate"/>
            </w:r>
            <w:r>
              <w:rPr>
                <w:noProof/>
                <w:webHidden/>
              </w:rPr>
              <w:t>10</w:t>
            </w:r>
            <w:r>
              <w:rPr>
                <w:noProof/>
                <w:webHidden/>
              </w:rPr>
              <w:fldChar w:fldCharType="end"/>
            </w:r>
          </w:hyperlink>
        </w:p>
        <w:p w14:paraId="7C81EF96"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302" w:history="1">
            <w:r w:rsidRPr="00A62630">
              <w:rPr>
                <w:rStyle w:val="Hipervnculo"/>
                <w:rFonts w:cs="Arial"/>
                <w:noProof/>
              </w:rPr>
              <w:t>2.</w:t>
            </w:r>
            <w:r>
              <w:rPr>
                <w:rFonts w:asciiTheme="minorHAnsi" w:eastAsiaTheme="minorEastAsia" w:hAnsiTheme="minorHAnsi" w:cstheme="minorBidi"/>
                <w:noProof/>
                <w:szCs w:val="22"/>
                <w:lang w:eastAsia="es-CO"/>
              </w:rPr>
              <w:tab/>
            </w:r>
            <w:r w:rsidRPr="00A62630">
              <w:rPr>
                <w:rStyle w:val="Hipervnculo"/>
                <w:rFonts w:cs="Arial"/>
                <w:noProof/>
              </w:rPr>
              <w:t>Base legal y normativa</w:t>
            </w:r>
            <w:r>
              <w:rPr>
                <w:noProof/>
                <w:webHidden/>
              </w:rPr>
              <w:tab/>
            </w:r>
            <w:r>
              <w:rPr>
                <w:noProof/>
                <w:webHidden/>
              </w:rPr>
              <w:fldChar w:fldCharType="begin"/>
            </w:r>
            <w:r>
              <w:rPr>
                <w:noProof/>
                <w:webHidden/>
              </w:rPr>
              <w:instrText xml:space="preserve"> PAGEREF _Toc525721302 \h </w:instrText>
            </w:r>
            <w:r>
              <w:rPr>
                <w:noProof/>
                <w:webHidden/>
              </w:rPr>
            </w:r>
            <w:r>
              <w:rPr>
                <w:noProof/>
                <w:webHidden/>
              </w:rPr>
              <w:fldChar w:fldCharType="separate"/>
            </w:r>
            <w:r>
              <w:rPr>
                <w:noProof/>
                <w:webHidden/>
              </w:rPr>
              <w:t>10</w:t>
            </w:r>
            <w:r>
              <w:rPr>
                <w:noProof/>
                <w:webHidden/>
              </w:rPr>
              <w:fldChar w:fldCharType="end"/>
            </w:r>
          </w:hyperlink>
        </w:p>
        <w:p w14:paraId="1FD1578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3" w:history="1">
            <w:r w:rsidRPr="00A62630">
              <w:rPr>
                <w:rStyle w:val="Hipervnculo"/>
                <w:rFonts w:cs="Arial"/>
                <w:noProof/>
              </w:rPr>
              <w:t>3. Alcance</w:t>
            </w:r>
            <w:r>
              <w:rPr>
                <w:noProof/>
                <w:webHidden/>
              </w:rPr>
              <w:tab/>
            </w:r>
            <w:r>
              <w:rPr>
                <w:noProof/>
                <w:webHidden/>
              </w:rPr>
              <w:fldChar w:fldCharType="begin"/>
            </w:r>
            <w:r>
              <w:rPr>
                <w:noProof/>
                <w:webHidden/>
              </w:rPr>
              <w:instrText xml:space="preserve"> PAGEREF _Toc525721303 \h </w:instrText>
            </w:r>
            <w:r>
              <w:rPr>
                <w:noProof/>
                <w:webHidden/>
              </w:rPr>
            </w:r>
            <w:r>
              <w:rPr>
                <w:noProof/>
                <w:webHidden/>
              </w:rPr>
              <w:fldChar w:fldCharType="separate"/>
            </w:r>
            <w:r>
              <w:rPr>
                <w:noProof/>
                <w:webHidden/>
              </w:rPr>
              <w:t>11</w:t>
            </w:r>
            <w:r>
              <w:rPr>
                <w:noProof/>
                <w:webHidden/>
              </w:rPr>
              <w:fldChar w:fldCharType="end"/>
            </w:r>
          </w:hyperlink>
        </w:p>
        <w:p w14:paraId="3D17068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4" w:history="1">
            <w:r w:rsidRPr="00A62630">
              <w:rPr>
                <w:rStyle w:val="Hipervnculo"/>
                <w:rFonts w:cs="Arial"/>
                <w:noProof/>
              </w:rPr>
              <w:t>4. Responsabilidades</w:t>
            </w:r>
            <w:r>
              <w:rPr>
                <w:noProof/>
                <w:webHidden/>
              </w:rPr>
              <w:tab/>
            </w:r>
            <w:r>
              <w:rPr>
                <w:noProof/>
                <w:webHidden/>
              </w:rPr>
              <w:fldChar w:fldCharType="begin"/>
            </w:r>
            <w:r>
              <w:rPr>
                <w:noProof/>
                <w:webHidden/>
              </w:rPr>
              <w:instrText xml:space="preserve"> PAGEREF _Toc525721304 \h </w:instrText>
            </w:r>
            <w:r>
              <w:rPr>
                <w:noProof/>
                <w:webHidden/>
              </w:rPr>
            </w:r>
            <w:r>
              <w:rPr>
                <w:noProof/>
                <w:webHidden/>
              </w:rPr>
              <w:fldChar w:fldCharType="separate"/>
            </w:r>
            <w:r>
              <w:rPr>
                <w:noProof/>
                <w:webHidden/>
              </w:rPr>
              <w:t>11</w:t>
            </w:r>
            <w:r>
              <w:rPr>
                <w:noProof/>
                <w:webHidden/>
              </w:rPr>
              <w:fldChar w:fldCharType="end"/>
            </w:r>
          </w:hyperlink>
        </w:p>
        <w:p w14:paraId="3762E70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5" w:history="1">
            <w:r w:rsidRPr="00A62630">
              <w:rPr>
                <w:rStyle w:val="Hipervnculo"/>
                <w:rFonts w:cs="Arial"/>
                <w:noProof/>
              </w:rPr>
              <w:t>5. Comité Técnico de Sostenibilidad del Sistema Contable</w:t>
            </w:r>
            <w:r>
              <w:rPr>
                <w:noProof/>
                <w:webHidden/>
              </w:rPr>
              <w:tab/>
            </w:r>
            <w:r>
              <w:rPr>
                <w:noProof/>
                <w:webHidden/>
              </w:rPr>
              <w:fldChar w:fldCharType="begin"/>
            </w:r>
            <w:r>
              <w:rPr>
                <w:noProof/>
                <w:webHidden/>
              </w:rPr>
              <w:instrText xml:space="preserve"> PAGEREF _Toc525721305 \h </w:instrText>
            </w:r>
            <w:r>
              <w:rPr>
                <w:noProof/>
                <w:webHidden/>
              </w:rPr>
            </w:r>
            <w:r>
              <w:rPr>
                <w:noProof/>
                <w:webHidden/>
              </w:rPr>
              <w:fldChar w:fldCharType="separate"/>
            </w:r>
            <w:r>
              <w:rPr>
                <w:noProof/>
                <w:webHidden/>
              </w:rPr>
              <w:t>11</w:t>
            </w:r>
            <w:r>
              <w:rPr>
                <w:noProof/>
                <w:webHidden/>
              </w:rPr>
              <w:fldChar w:fldCharType="end"/>
            </w:r>
          </w:hyperlink>
        </w:p>
        <w:p w14:paraId="6846AE6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6" w:history="1">
            <w:r w:rsidRPr="00A62630">
              <w:rPr>
                <w:rStyle w:val="Hipervnculo"/>
                <w:rFonts w:cs="Arial"/>
                <w:noProof/>
              </w:rPr>
              <w:t>5.1. Funciones del Líder del Comité Técnico de Sostenibilidad del Sistema Contable</w:t>
            </w:r>
            <w:r>
              <w:rPr>
                <w:noProof/>
                <w:webHidden/>
              </w:rPr>
              <w:tab/>
            </w:r>
            <w:r>
              <w:rPr>
                <w:noProof/>
                <w:webHidden/>
              </w:rPr>
              <w:fldChar w:fldCharType="begin"/>
            </w:r>
            <w:r>
              <w:rPr>
                <w:noProof/>
                <w:webHidden/>
              </w:rPr>
              <w:instrText xml:space="preserve"> PAGEREF _Toc525721306 \h </w:instrText>
            </w:r>
            <w:r>
              <w:rPr>
                <w:noProof/>
                <w:webHidden/>
              </w:rPr>
            </w:r>
            <w:r>
              <w:rPr>
                <w:noProof/>
                <w:webHidden/>
              </w:rPr>
              <w:fldChar w:fldCharType="separate"/>
            </w:r>
            <w:r>
              <w:rPr>
                <w:noProof/>
                <w:webHidden/>
              </w:rPr>
              <w:t>12</w:t>
            </w:r>
            <w:r>
              <w:rPr>
                <w:noProof/>
                <w:webHidden/>
              </w:rPr>
              <w:fldChar w:fldCharType="end"/>
            </w:r>
          </w:hyperlink>
        </w:p>
        <w:p w14:paraId="7A9E30C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7" w:history="1">
            <w:r w:rsidRPr="00A62630">
              <w:rPr>
                <w:rStyle w:val="Hipervnculo"/>
                <w:rFonts w:cs="Arial"/>
                <w:noProof/>
              </w:rPr>
              <w:t>CAPITULO I. POLÍTICAS GENERALES</w:t>
            </w:r>
            <w:r>
              <w:rPr>
                <w:noProof/>
                <w:webHidden/>
              </w:rPr>
              <w:tab/>
            </w:r>
            <w:r>
              <w:rPr>
                <w:noProof/>
                <w:webHidden/>
              </w:rPr>
              <w:fldChar w:fldCharType="begin"/>
            </w:r>
            <w:r>
              <w:rPr>
                <w:noProof/>
                <w:webHidden/>
              </w:rPr>
              <w:instrText xml:space="preserve"> PAGEREF _Toc525721307 \h </w:instrText>
            </w:r>
            <w:r>
              <w:rPr>
                <w:noProof/>
                <w:webHidden/>
              </w:rPr>
            </w:r>
            <w:r>
              <w:rPr>
                <w:noProof/>
                <w:webHidden/>
              </w:rPr>
              <w:fldChar w:fldCharType="separate"/>
            </w:r>
            <w:r>
              <w:rPr>
                <w:noProof/>
                <w:webHidden/>
              </w:rPr>
              <w:t>12</w:t>
            </w:r>
            <w:r>
              <w:rPr>
                <w:noProof/>
                <w:webHidden/>
              </w:rPr>
              <w:fldChar w:fldCharType="end"/>
            </w:r>
          </w:hyperlink>
        </w:p>
        <w:p w14:paraId="21C1864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8" w:history="1">
            <w:r w:rsidRPr="00A62630">
              <w:rPr>
                <w:rStyle w:val="Hipervnculo"/>
                <w:rFonts w:cs="Arial"/>
                <w:smallCaps/>
                <w:noProof/>
                <w:spacing w:val="5"/>
              </w:rPr>
              <w:t>1. DEFINICIÓN DE POLÍTICAS CONTABLES</w:t>
            </w:r>
            <w:r>
              <w:rPr>
                <w:noProof/>
                <w:webHidden/>
              </w:rPr>
              <w:tab/>
            </w:r>
            <w:r>
              <w:rPr>
                <w:noProof/>
                <w:webHidden/>
              </w:rPr>
              <w:fldChar w:fldCharType="begin"/>
            </w:r>
            <w:r>
              <w:rPr>
                <w:noProof/>
                <w:webHidden/>
              </w:rPr>
              <w:instrText xml:space="preserve"> PAGEREF _Toc525721308 \h </w:instrText>
            </w:r>
            <w:r>
              <w:rPr>
                <w:noProof/>
                <w:webHidden/>
              </w:rPr>
            </w:r>
            <w:r>
              <w:rPr>
                <w:noProof/>
                <w:webHidden/>
              </w:rPr>
              <w:fldChar w:fldCharType="separate"/>
            </w:r>
            <w:r>
              <w:rPr>
                <w:noProof/>
                <w:webHidden/>
              </w:rPr>
              <w:t>12</w:t>
            </w:r>
            <w:r>
              <w:rPr>
                <w:noProof/>
                <w:webHidden/>
              </w:rPr>
              <w:fldChar w:fldCharType="end"/>
            </w:r>
          </w:hyperlink>
        </w:p>
        <w:p w14:paraId="184918C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09" w:history="1">
            <w:r w:rsidRPr="00A62630">
              <w:rPr>
                <w:rStyle w:val="Hipervnculo"/>
                <w:rFonts w:cs="Arial"/>
                <w:smallCaps/>
                <w:noProof/>
                <w:spacing w:val="5"/>
              </w:rPr>
              <w:t>2. POLÍTICAS PARA DEFINICIONES CONTABLES</w:t>
            </w:r>
            <w:r>
              <w:rPr>
                <w:noProof/>
                <w:webHidden/>
              </w:rPr>
              <w:tab/>
            </w:r>
            <w:r>
              <w:rPr>
                <w:noProof/>
                <w:webHidden/>
              </w:rPr>
              <w:fldChar w:fldCharType="begin"/>
            </w:r>
            <w:r>
              <w:rPr>
                <w:noProof/>
                <w:webHidden/>
              </w:rPr>
              <w:instrText xml:space="preserve"> PAGEREF _Toc525721309 \h </w:instrText>
            </w:r>
            <w:r>
              <w:rPr>
                <w:noProof/>
                <w:webHidden/>
              </w:rPr>
            </w:r>
            <w:r>
              <w:rPr>
                <w:noProof/>
                <w:webHidden/>
              </w:rPr>
              <w:fldChar w:fldCharType="separate"/>
            </w:r>
            <w:r>
              <w:rPr>
                <w:noProof/>
                <w:webHidden/>
              </w:rPr>
              <w:t>12</w:t>
            </w:r>
            <w:r>
              <w:rPr>
                <w:noProof/>
                <w:webHidden/>
              </w:rPr>
              <w:fldChar w:fldCharType="end"/>
            </w:r>
          </w:hyperlink>
        </w:p>
        <w:p w14:paraId="4747581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0" w:history="1">
            <w:r w:rsidRPr="00A62630">
              <w:rPr>
                <w:rStyle w:val="Hipervnculo"/>
                <w:rFonts w:cs="Arial"/>
                <w:smallCaps/>
                <w:noProof/>
                <w:spacing w:val="5"/>
              </w:rPr>
              <w:t>3. POLÍTICAS PARA TRANSACCIONES NO RUTINARIAS</w:t>
            </w:r>
            <w:r>
              <w:rPr>
                <w:noProof/>
                <w:webHidden/>
              </w:rPr>
              <w:tab/>
            </w:r>
            <w:r>
              <w:rPr>
                <w:noProof/>
                <w:webHidden/>
              </w:rPr>
              <w:fldChar w:fldCharType="begin"/>
            </w:r>
            <w:r>
              <w:rPr>
                <w:noProof/>
                <w:webHidden/>
              </w:rPr>
              <w:instrText xml:space="preserve"> PAGEREF _Toc525721310 \h </w:instrText>
            </w:r>
            <w:r>
              <w:rPr>
                <w:noProof/>
                <w:webHidden/>
              </w:rPr>
            </w:r>
            <w:r>
              <w:rPr>
                <w:noProof/>
                <w:webHidden/>
              </w:rPr>
              <w:fldChar w:fldCharType="separate"/>
            </w:r>
            <w:r>
              <w:rPr>
                <w:noProof/>
                <w:webHidden/>
              </w:rPr>
              <w:t>12</w:t>
            </w:r>
            <w:r>
              <w:rPr>
                <w:noProof/>
                <w:webHidden/>
              </w:rPr>
              <w:fldChar w:fldCharType="end"/>
            </w:r>
          </w:hyperlink>
        </w:p>
        <w:p w14:paraId="170C2CA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1" w:history="1">
            <w:r w:rsidRPr="00A62630">
              <w:rPr>
                <w:rStyle w:val="Hipervnculo"/>
                <w:rFonts w:cs="Arial"/>
                <w:smallCaps/>
                <w:noProof/>
                <w:spacing w:val="5"/>
              </w:rPr>
              <w:t>4. POLÍTICAS PARA EL REGISTRO Y APROBACIÓN DE LOS COMPROBANTES CONTABLES</w:t>
            </w:r>
            <w:r>
              <w:rPr>
                <w:noProof/>
                <w:webHidden/>
              </w:rPr>
              <w:tab/>
            </w:r>
            <w:r>
              <w:rPr>
                <w:noProof/>
                <w:webHidden/>
              </w:rPr>
              <w:fldChar w:fldCharType="begin"/>
            </w:r>
            <w:r>
              <w:rPr>
                <w:noProof/>
                <w:webHidden/>
              </w:rPr>
              <w:instrText xml:space="preserve"> PAGEREF _Toc525721311 \h </w:instrText>
            </w:r>
            <w:r>
              <w:rPr>
                <w:noProof/>
                <w:webHidden/>
              </w:rPr>
            </w:r>
            <w:r>
              <w:rPr>
                <w:noProof/>
                <w:webHidden/>
              </w:rPr>
              <w:fldChar w:fldCharType="separate"/>
            </w:r>
            <w:r>
              <w:rPr>
                <w:noProof/>
                <w:webHidden/>
              </w:rPr>
              <w:t>12</w:t>
            </w:r>
            <w:r>
              <w:rPr>
                <w:noProof/>
                <w:webHidden/>
              </w:rPr>
              <w:fldChar w:fldCharType="end"/>
            </w:r>
          </w:hyperlink>
        </w:p>
        <w:p w14:paraId="4918B2A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2" w:history="1">
            <w:r w:rsidRPr="00A62630">
              <w:rPr>
                <w:rStyle w:val="Hipervnculo"/>
                <w:rFonts w:cs="Arial"/>
                <w:smallCaps/>
                <w:noProof/>
                <w:spacing w:val="5"/>
              </w:rPr>
              <w:t>5. NUEVOS PROCEDIMIENTOS CONTABLES</w:t>
            </w:r>
            <w:r>
              <w:rPr>
                <w:noProof/>
                <w:webHidden/>
              </w:rPr>
              <w:tab/>
            </w:r>
            <w:r>
              <w:rPr>
                <w:noProof/>
                <w:webHidden/>
              </w:rPr>
              <w:fldChar w:fldCharType="begin"/>
            </w:r>
            <w:r>
              <w:rPr>
                <w:noProof/>
                <w:webHidden/>
              </w:rPr>
              <w:instrText xml:space="preserve"> PAGEREF _Toc525721312 \h </w:instrText>
            </w:r>
            <w:r>
              <w:rPr>
                <w:noProof/>
                <w:webHidden/>
              </w:rPr>
            </w:r>
            <w:r>
              <w:rPr>
                <w:noProof/>
                <w:webHidden/>
              </w:rPr>
              <w:fldChar w:fldCharType="separate"/>
            </w:r>
            <w:r>
              <w:rPr>
                <w:noProof/>
                <w:webHidden/>
              </w:rPr>
              <w:t>13</w:t>
            </w:r>
            <w:r>
              <w:rPr>
                <w:noProof/>
                <w:webHidden/>
              </w:rPr>
              <w:fldChar w:fldCharType="end"/>
            </w:r>
          </w:hyperlink>
        </w:p>
        <w:p w14:paraId="538B1AF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3" w:history="1">
            <w:r w:rsidRPr="00A62630">
              <w:rPr>
                <w:rStyle w:val="Hipervnculo"/>
                <w:rFonts w:cs="Arial"/>
                <w:smallCaps/>
                <w:noProof/>
                <w:spacing w:val="5"/>
              </w:rPr>
              <w:t>6. FLUJO DE INFORMACIÓN</w:t>
            </w:r>
            <w:r>
              <w:rPr>
                <w:noProof/>
                <w:webHidden/>
              </w:rPr>
              <w:tab/>
            </w:r>
            <w:r>
              <w:rPr>
                <w:noProof/>
                <w:webHidden/>
              </w:rPr>
              <w:fldChar w:fldCharType="begin"/>
            </w:r>
            <w:r>
              <w:rPr>
                <w:noProof/>
                <w:webHidden/>
              </w:rPr>
              <w:instrText xml:space="preserve"> PAGEREF _Toc525721313 \h </w:instrText>
            </w:r>
            <w:r>
              <w:rPr>
                <w:noProof/>
                <w:webHidden/>
              </w:rPr>
            </w:r>
            <w:r>
              <w:rPr>
                <w:noProof/>
                <w:webHidden/>
              </w:rPr>
              <w:fldChar w:fldCharType="separate"/>
            </w:r>
            <w:r>
              <w:rPr>
                <w:noProof/>
                <w:webHidden/>
              </w:rPr>
              <w:t>13</w:t>
            </w:r>
            <w:r>
              <w:rPr>
                <w:noProof/>
                <w:webHidden/>
              </w:rPr>
              <w:fldChar w:fldCharType="end"/>
            </w:r>
          </w:hyperlink>
        </w:p>
        <w:p w14:paraId="1A96759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4" w:history="1">
            <w:r w:rsidRPr="00A62630">
              <w:rPr>
                <w:rStyle w:val="Hipervnculo"/>
                <w:rFonts w:cs="Arial"/>
                <w:noProof/>
              </w:rPr>
              <w:t>6.1. Diario</w:t>
            </w:r>
            <w:r>
              <w:rPr>
                <w:noProof/>
                <w:webHidden/>
              </w:rPr>
              <w:tab/>
            </w:r>
            <w:r>
              <w:rPr>
                <w:noProof/>
                <w:webHidden/>
              </w:rPr>
              <w:fldChar w:fldCharType="begin"/>
            </w:r>
            <w:r>
              <w:rPr>
                <w:noProof/>
                <w:webHidden/>
              </w:rPr>
              <w:instrText xml:space="preserve"> PAGEREF _Toc525721314 \h </w:instrText>
            </w:r>
            <w:r>
              <w:rPr>
                <w:noProof/>
                <w:webHidden/>
              </w:rPr>
            </w:r>
            <w:r>
              <w:rPr>
                <w:noProof/>
                <w:webHidden/>
              </w:rPr>
              <w:fldChar w:fldCharType="separate"/>
            </w:r>
            <w:r>
              <w:rPr>
                <w:noProof/>
                <w:webHidden/>
              </w:rPr>
              <w:t>13</w:t>
            </w:r>
            <w:r>
              <w:rPr>
                <w:noProof/>
                <w:webHidden/>
              </w:rPr>
              <w:fldChar w:fldCharType="end"/>
            </w:r>
          </w:hyperlink>
        </w:p>
        <w:p w14:paraId="1928C42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5" w:history="1">
            <w:r w:rsidRPr="00A62630">
              <w:rPr>
                <w:rStyle w:val="Hipervnculo"/>
                <w:rFonts w:cs="Arial"/>
                <w:noProof/>
              </w:rPr>
              <w:t>6.2. Mensual</w:t>
            </w:r>
            <w:r>
              <w:rPr>
                <w:noProof/>
                <w:webHidden/>
              </w:rPr>
              <w:tab/>
            </w:r>
            <w:r>
              <w:rPr>
                <w:noProof/>
                <w:webHidden/>
              </w:rPr>
              <w:fldChar w:fldCharType="begin"/>
            </w:r>
            <w:r>
              <w:rPr>
                <w:noProof/>
                <w:webHidden/>
              </w:rPr>
              <w:instrText xml:space="preserve"> PAGEREF _Toc525721315 \h </w:instrText>
            </w:r>
            <w:r>
              <w:rPr>
                <w:noProof/>
                <w:webHidden/>
              </w:rPr>
            </w:r>
            <w:r>
              <w:rPr>
                <w:noProof/>
                <w:webHidden/>
              </w:rPr>
              <w:fldChar w:fldCharType="separate"/>
            </w:r>
            <w:r>
              <w:rPr>
                <w:noProof/>
                <w:webHidden/>
              </w:rPr>
              <w:t>14</w:t>
            </w:r>
            <w:r>
              <w:rPr>
                <w:noProof/>
                <w:webHidden/>
              </w:rPr>
              <w:fldChar w:fldCharType="end"/>
            </w:r>
          </w:hyperlink>
        </w:p>
        <w:p w14:paraId="4BF9871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6" w:history="1">
            <w:r w:rsidRPr="00A62630">
              <w:rPr>
                <w:rStyle w:val="Hipervnculo"/>
                <w:rFonts w:cs="Arial"/>
                <w:noProof/>
              </w:rPr>
              <w:t>6.3. Trimestral</w:t>
            </w:r>
            <w:r>
              <w:rPr>
                <w:noProof/>
                <w:webHidden/>
              </w:rPr>
              <w:tab/>
            </w:r>
            <w:r>
              <w:rPr>
                <w:noProof/>
                <w:webHidden/>
              </w:rPr>
              <w:fldChar w:fldCharType="begin"/>
            </w:r>
            <w:r>
              <w:rPr>
                <w:noProof/>
                <w:webHidden/>
              </w:rPr>
              <w:instrText xml:space="preserve"> PAGEREF _Toc525721316 \h </w:instrText>
            </w:r>
            <w:r>
              <w:rPr>
                <w:noProof/>
                <w:webHidden/>
              </w:rPr>
            </w:r>
            <w:r>
              <w:rPr>
                <w:noProof/>
                <w:webHidden/>
              </w:rPr>
              <w:fldChar w:fldCharType="separate"/>
            </w:r>
            <w:r>
              <w:rPr>
                <w:noProof/>
                <w:webHidden/>
              </w:rPr>
              <w:t>15</w:t>
            </w:r>
            <w:r>
              <w:rPr>
                <w:noProof/>
                <w:webHidden/>
              </w:rPr>
              <w:fldChar w:fldCharType="end"/>
            </w:r>
          </w:hyperlink>
        </w:p>
        <w:p w14:paraId="3EBFB04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7" w:history="1">
            <w:r w:rsidRPr="00A62630">
              <w:rPr>
                <w:rStyle w:val="Hipervnculo"/>
                <w:rFonts w:cs="Arial"/>
                <w:noProof/>
              </w:rPr>
              <w:t>6.4. Anual</w:t>
            </w:r>
            <w:r>
              <w:rPr>
                <w:noProof/>
                <w:webHidden/>
              </w:rPr>
              <w:tab/>
            </w:r>
            <w:r>
              <w:rPr>
                <w:noProof/>
                <w:webHidden/>
              </w:rPr>
              <w:fldChar w:fldCharType="begin"/>
            </w:r>
            <w:r>
              <w:rPr>
                <w:noProof/>
                <w:webHidden/>
              </w:rPr>
              <w:instrText xml:space="preserve"> PAGEREF _Toc525721317 \h </w:instrText>
            </w:r>
            <w:r>
              <w:rPr>
                <w:noProof/>
                <w:webHidden/>
              </w:rPr>
            </w:r>
            <w:r>
              <w:rPr>
                <w:noProof/>
                <w:webHidden/>
              </w:rPr>
              <w:fldChar w:fldCharType="separate"/>
            </w:r>
            <w:r>
              <w:rPr>
                <w:noProof/>
                <w:webHidden/>
              </w:rPr>
              <w:t>15</w:t>
            </w:r>
            <w:r>
              <w:rPr>
                <w:noProof/>
                <w:webHidden/>
              </w:rPr>
              <w:fldChar w:fldCharType="end"/>
            </w:r>
          </w:hyperlink>
        </w:p>
        <w:p w14:paraId="5AD98AF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8" w:history="1">
            <w:r w:rsidRPr="00A62630">
              <w:rPr>
                <w:rStyle w:val="Hipervnculo"/>
                <w:rFonts w:cs="Arial"/>
                <w:noProof/>
              </w:rPr>
              <w:t>7. CONCILIACIÓN DE INFORMACIÓN</w:t>
            </w:r>
            <w:r>
              <w:rPr>
                <w:noProof/>
                <w:webHidden/>
              </w:rPr>
              <w:tab/>
            </w:r>
            <w:r>
              <w:rPr>
                <w:noProof/>
                <w:webHidden/>
              </w:rPr>
              <w:fldChar w:fldCharType="begin"/>
            </w:r>
            <w:r>
              <w:rPr>
                <w:noProof/>
                <w:webHidden/>
              </w:rPr>
              <w:instrText xml:space="preserve"> PAGEREF _Toc525721318 \h </w:instrText>
            </w:r>
            <w:r>
              <w:rPr>
                <w:noProof/>
                <w:webHidden/>
              </w:rPr>
            </w:r>
            <w:r>
              <w:rPr>
                <w:noProof/>
                <w:webHidden/>
              </w:rPr>
              <w:fldChar w:fldCharType="separate"/>
            </w:r>
            <w:r>
              <w:rPr>
                <w:noProof/>
                <w:webHidden/>
              </w:rPr>
              <w:t>15</w:t>
            </w:r>
            <w:r>
              <w:rPr>
                <w:noProof/>
                <w:webHidden/>
              </w:rPr>
              <w:fldChar w:fldCharType="end"/>
            </w:r>
          </w:hyperlink>
        </w:p>
        <w:p w14:paraId="66B558B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19" w:history="1">
            <w:r w:rsidRPr="00A62630">
              <w:rPr>
                <w:rStyle w:val="Hipervnculo"/>
                <w:rFonts w:cs="Arial"/>
                <w:noProof/>
              </w:rPr>
              <w:t>7.1. Tesorería</w:t>
            </w:r>
            <w:r>
              <w:rPr>
                <w:noProof/>
                <w:webHidden/>
              </w:rPr>
              <w:tab/>
            </w:r>
            <w:r>
              <w:rPr>
                <w:noProof/>
                <w:webHidden/>
              </w:rPr>
              <w:fldChar w:fldCharType="begin"/>
            </w:r>
            <w:r>
              <w:rPr>
                <w:noProof/>
                <w:webHidden/>
              </w:rPr>
              <w:instrText xml:space="preserve"> PAGEREF _Toc525721319 \h </w:instrText>
            </w:r>
            <w:r>
              <w:rPr>
                <w:noProof/>
                <w:webHidden/>
              </w:rPr>
            </w:r>
            <w:r>
              <w:rPr>
                <w:noProof/>
                <w:webHidden/>
              </w:rPr>
              <w:fldChar w:fldCharType="separate"/>
            </w:r>
            <w:r>
              <w:rPr>
                <w:noProof/>
                <w:webHidden/>
              </w:rPr>
              <w:t>16</w:t>
            </w:r>
            <w:r>
              <w:rPr>
                <w:noProof/>
                <w:webHidden/>
              </w:rPr>
              <w:fldChar w:fldCharType="end"/>
            </w:r>
          </w:hyperlink>
        </w:p>
        <w:p w14:paraId="5619FBD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0" w:history="1">
            <w:r w:rsidRPr="00A62630">
              <w:rPr>
                <w:rStyle w:val="Hipervnculo"/>
                <w:rFonts w:cs="Arial"/>
                <w:noProof/>
              </w:rPr>
              <w:t>7.2. Almacén</w:t>
            </w:r>
            <w:r>
              <w:rPr>
                <w:noProof/>
                <w:webHidden/>
              </w:rPr>
              <w:tab/>
            </w:r>
            <w:r>
              <w:rPr>
                <w:noProof/>
                <w:webHidden/>
              </w:rPr>
              <w:fldChar w:fldCharType="begin"/>
            </w:r>
            <w:r>
              <w:rPr>
                <w:noProof/>
                <w:webHidden/>
              </w:rPr>
              <w:instrText xml:space="preserve"> PAGEREF _Toc525721320 \h </w:instrText>
            </w:r>
            <w:r>
              <w:rPr>
                <w:noProof/>
                <w:webHidden/>
              </w:rPr>
            </w:r>
            <w:r>
              <w:rPr>
                <w:noProof/>
                <w:webHidden/>
              </w:rPr>
              <w:fldChar w:fldCharType="separate"/>
            </w:r>
            <w:r>
              <w:rPr>
                <w:noProof/>
                <w:webHidden/>
              </w:rPr>
              <w:t>16</w:t>
            </w:r>
            <w:r>
              <w:rPr>
                <w:noProof/>
                <w:webHidden/>
              </w:rPr>
              <w:fldChar w:fldCharType="end"/>
            </w:r>
          </w:hyperlink>
        </w:p>
        <w:p w14:paraId="3DDE3A6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1" w:history="1">
            <w:r w:rsidRPr="00A62630">
              <w:rPr>
                <w:rStyle w:val="Hipervnculo"/>
                <w:rFonts w:cs="Arial"/>
                <w:noProof/>
              </w:rPr>
              <w:t>7.3. Secretaria General</w:t>
            </w:r>
            <w:r>
              <w:rPr>
                <w:noProof/>
                <w:webHidden/>
              </w:rPr>
              <w:tab/>
            </w:r>
            <w:r>
              <w:rPr>
                <w:noProof/>
                <w:webHidden/>
              </w:rPr>
              <w:fldChar w:fldCharType="begin"/>
            </w:r>
            <w:r>
              <w:rPr>
                <w:noProof/>
                <w:webHidden/>
              </w:rPr>
              <w:instrText xml:space="preserve"> PAGEREF _Toc525721321 \h </w:instrText>
            </w:r>
            <w:r>
              <w:rPr>
                <w:noProof/>
                <w:webHidden/>
              </w:rPr>
            </w:r>
            <w:r>
              <w:rPr>
                <w:noProof/>
                <w:webHidden/>
              </w:rPr>
              <w:fldChar w:fldCharType="separate"/>
            </w:r>
            <w:r>
              <w:rPr>
                <w:noProof/>
                <w:webHidden/>
              </w:rPr>
              <w:t>16</w:t>
            </w:r>
            <w:r>
              <w:rPr>
                <w:noProof/>
                <w:webHidden/>
              </w:rPr>
              <w:fldChar w:fldCharType="end"/>
            </w:r>
          </w:hyperlink>
        </w:p>
        <w:p w14:paraId="11731AB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2" w:history="1">
            <w:r w:rsidRPr="00A62630">
              <w:rPr>
                <w:rStyle w:val="Hipervnculo"/>
                <w:rFonts w:cs="Arial"/>
                <w:noProof/>
              </w:rPr>
              <w:t>7.4. Registro Único de Infractores Ambientales (RUIA)</w:t>
            </w:r>
            <w:r>
              <w:rPr>
                <w:noProof/>
                <w:webHidden/>
              </w:rPr>
              <w:tab/>
            </w:r>
            <w:r>
              <w:rPr>
                <w:noProof/>
                <w:webHidden/>
              </w:rPr>
              <w:fldChar w:fldCharType="begin"/>
            </w:r>
            <w:r>
              <w:rPr>
                <w:noProof/>
                <w:webHidden/>
              </w:rPr>
              <w:instrText xml:space="preserve"> PAGEREF _Toc525721322 \h </w:instrText>
            </w:r>
            <w:r>
              <w:rPr>
                <w:noProof/>
                <w:webHidden/>
              </w:rPr>
            </w:r>
            <w:r>
              <w:rPr>
                <w:noProof/>
                <w:webHidden/>
              </w:rPr>
              <w:fldChar w:fldCharType="separate"/>
            </w:r>
            <w:r>
              <w:rPr>
                <w:noProof/>
                <w:webHidden/>
              </w:rPr>
              <w:t>16</w:t>
            </w:r>
            <w:r>
              <w:rPr>
                <w:noProof/>
                <w:webHidden/>
              </w:rPr>
              <w:fldChar w:fldCharType="end"/>
            </w:r>
          </w:hyperlink>
        </w:p>
        <w:p w14:paraId="07D5D40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3" w:history="1">
            <w:r w:rsidRPr="00A62630">
              <w:rPr>
                <w:rStyle w:val="Hipervnculo"/>
                <w:rFonts w:cs="Arial"/>
                <w:noProof/>
              </w:rPr>
              <w:t>8. EVALUACIÓN DEL PROCESO CONTABLE</w:t>
            </w:r>
            <w:r>
              <w:rPr>
                <w:noProof/>
                <w:webHidden/>
              </w:rPr>
              <w:tab/>
            </w:r>
            <w:r>
              <w:rPr>
                <w:noProof/>
                <w:webHidden/>
              </w:rPr>
              <w:fldChar w:fldCharType="begin"/>
            </w:r>
            <w:r>
              <w:rPr>
                <w:noProof/>
                <w:webHidden/>
              </w:rPr>
              <w:instrText xml:space="preserve"> PAGEREF _Toc525721323 \h </w:instrText>
            </w:r>
            <w:r>
              <w:rPr>
                <w:noProof/>
                <w:webHidden/>
              </w:rPr>
            </w:r>
            <w:r>
              <w:rPr>
                <w:noProof/>
                <w:webHidden/>
              </w:rPr>
              <w:fldChar w:fldCharType="separate"/>
            </w:r>
            <w:r>
              <w:rPr>
                <w:noProof/>
                <w:webHidden/>
              </w:rPr>
              <w:t>16</w:t>
            </w:r>
            <w:r>
              <w:rPr>
                <w:noProof/>
                <w:webHidden/>
              </w:rPr>
              <w:fldChar w:fldCharType="end"/>
            </w:r>
          </w:hyperlink>
        </w:p>
        <w:p w14:paraId="3132C9D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4" w:history="1">
            <w:r w:rsidRPr="00A62630">
              <w:rPr>
                <w:rStyle w:val="Hipervnculo"/>
                <w:rFonts w:cs="Arial"/>
                <w:noProof/>
              </w:rPr>
              <w:t>9. COMPROMISO INSTITUCIONAL</w:t>
            </w:r>
            <w:r>
              <w:rPr>
                <w:noProof/>
                <w:webHidden/>
              </w:rPr>
              <w:tab/>
            </w:r>
            <w:r>
              <w:rPr>
                <w:noProof/>
                <w:webHidden/>
              </w:rPr>
              <w:fldChar w:fldCharType="begin"/>
            </w:r>
            <w:r>
              <w:rPr>
                <w:noProof/>
                <w:webHidden/>
              </w:rPr>
              <w:instrText xml:space="preserve"> PAGEREF _Toc525721324 \h </w:instrText>
            </w:r>
            <w:r>
              <w:rPr>
                <w:noProof/>
                <w:webHidden/>
              </w:rPr>
            </w:r>
            <w:r>
              <w:rPr>
                <w:noProof/>
                <w:webHidden/>
              </w:rPr>
              <w:fldChar w:fldCharType="separate"/>
            </w:r>
            <w:r>
              <w:rPr>
                <w:noProof/>
                <w:webHidden/>
              </w:rPr>
              <w:t>17</w:t>
            </w:r>
            <w:r>
              <w:rPr>
                <w:noProof/>
                <w:webHidden/>
              </w:rPr>
              <w:fldChar w:fldCharType="end"/>
            </w:r>
          </w:hyperlink>
        </w:p>
        <w:p w14:paraId="0475D55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5" w:history="1">
            <w:r w:rsidRPr="00A62630">
              <w:rPr>
                <w:rStyle w:val="Hipervnculo"/>
                <w:rFonts w:cs="Arial"/>
                <w:noProof/>
              </w:rPr>
              <w:t>CAPITULO II. MARCO CONCEPTUAL</w:t>
            </w:r>
            <w:r>
              <w:rPr>
                <w:noProof/>
                <w:webHidden/>
              </w:rPr>
              <w:tab/>
            </w:r>
            <w:r>
              <w:rPr>
                <w:noProof/>
                <w:webHidden/>
              </w:rPr>
              <w:fldChar w:fldCharType="begin"/>
            </w:r>
            <w:r>
              <w:rPr>
                <w:noProof/>
                <w:webHidden/>
              </w:rPr>
              <w:instrText xml:space="preserve"> PAGEREF _Toc525721325 \h </w:instrText>
            </w:r>
            <w:r>
              <w:rPr>
                <w:noProof/>
                <w:webHidden/>
              </w:rPr>
            </w:r>
            <w:r>
              <w:rPr>
                <w:noProof/>
                <w:webHidden/>
              </w:rPr>
              <w:fldChar w:fldCharType="separate"/>
            </w:r>
            <w:r>
              <w:rPr>
                <w:noProof/>
                <w:webHidden/>
              </w:rPr>
              <w:t>17</w:t>
            </w:r>
            <w:r>
              <w:rPr>
                <w:noProof/>
                <w:webHidden/>
              </w:rPr>
              <w:fldChar w:fldCharType="end"/>
            </w:r>
          </w:hyperlink>
        </w:p>
        <w:p w14:paraId="378504E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6" w:history="1">
            <w:r w:rsidRPr="00A62630">
              <w:rPr>
                <w:rStyle w:val="Hipervnculo"/>
                <w:rFonts w:cs="Arial"/>
                <w:noProof/>
              </w:rPr>
              <w:t>1. OBJETIVO</w:t>
            </w:r>
            <w:r>
              <w:rPr>
                <w:noProof/>
                <w:webHidden/>
              </w:rPr>
              <w:tab/>
            </w:r>
            <w:r>
              <w:rPr>
                <w:noProof/>
                <w:webHidden/>
              </w:rPr>
              <w:fldChar w:fldCharType="begin"/>
            </w:r>
            <w:r>
              <w:rPr>
                <w:noProof/>
                <w:webHidden/>
              </w:rPr>
              <w:instrText xml:space="preserve"> PAGEREF _Toc525721326 \h </w:instrText>
            </w:r>
            <w:r>
              <w:rPr>
                <w:noProof/>
                <w:webHidden/>
              </w:rPr>
            </w:r>
            <w:r>
              <w:rPr>
                <w:noProof/>
                <w:webHidden/>
              </w:rPr>
              <w:fldChar w:fldCharType="separate"/>
            </w:r>
            <w:r>
              <w:rPr>
                <w:noProof/>
                <w:webHidden/>
              </w:rPr>
              <w:t>17</w:t>
            </w:r>
            <w:r>
              <w:rPr>
                <w:noProof/>
                <w:webHidden/>
              </w:rPr>
              <w:fldChar w:fldCharType="end"/>
            </w:r>
          </w:hyperlink>
        </w:p>
        <w:p w14:paraId="0518E2A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7" w:history="1">
            <w:r w:rsidRPr="00A62630">
              <w:rPr>
                <w:rStyle w:val="Hipervnculo"/>
                <w:rFonts w:cs="Arial"/>
                <w:noProof/>
              </w:rPr>
              <w:t>2. NORMATIVIDAD RELACIONADA</w:t>
            </w:r>
            <w:r>
              <w:rPr>
                <w:noProof/>
                <w:webHidden/>
              </w:rPr>
              <w:tab/>
            </w:r>
            <w:r>
              <w:rPr>
                <w:noProof/>
                <w:webHidden/>
              </w:rPr>
              <w:fldChar w:fldCharType="begin"/>
            </w:r>
            <w:r>
              <w:rPr>
                <w:noProof/>
                <w:webHidden/>
              </w:rPr>
              <w:instrText xml:space="preserve"> PAGEREF _Toc525721327 \h </w:instrText>
            </w:r>
            <w:r>
              <w:rPr>
                <w:noProof/>
                <w:webHidden/>
              </w:rPr>
            </w:r>
            <w:r>
              <w:rPr>
                <w:noProof/>
                <w:webHidden/>
              </w:rPr>
              <w:fldChar w:fldCharType="separate"/>
            </w:r>
            <w:r>
              <w:rPr>
                <w:noProof/>
                <w:webHidden/>
              </w:rPr>
              <w:t>17</w:t>
            </w:r>
            <w:r>
              <w:rPr>
                <w:noProof/>
                <w:webHidden/>
              </w:rPr>
              <w:fldChar w:fldCharType="end"/>
            </w:r>
          </w:hyperlink>
        </w:p>
        <w:p w14:paraId="26BC4CB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8" w:history="1">
            <w:r w:rsidRPr="00A62630">
              <w:rPr>
                <w:rStyle w:val="Hipervnculo"/>
                <w:rFonts w:cs="Arial"/>
                <w:noProof/>
              </w:rPr>
              <w:t>3. ALCANCE</w:t>
            </w:r>
            <w:r>
              <w:rPr>
                <w:noProof/>
                <w:webHidden/>
              </w:rPr>
              <w:tab/>
            </w:r>
            <w:r>
              <w:rPr>
                <w:noProof/>
                <w:webHidden/>
              </w:rPr>
              <w:fldChar w:fldCharType="begin"/>
            </w:r>
            <w:r>
              <w:rPr>
                <w:noProof/>
                <w:webHidden/>
              </w:rPr>
              <w:instrText xml:space="preserve"> PAGEREF _Toc525721328 \h </w:instrText>
            </w:r>
            <w:r>
              <w:rPr>
                <w:noProof/>
                <w:webHidden/>
              </w:rPr>
            </w:r>
            <w:r>
              <w:rPr>
                <w:noProof/>
                <w:webHidden/>
              </w:rPr>
              <w:fldChar w:fldCharType="separate"/>
            </w:r>
            <w:r>
              <w:rPr>
                <w:noProof/>
                <w:webHidden/>
              </w:rPr>
              <w:t>17</w:t>
            </w:r>
            <w:r>
              <w:rPr>
                <w:noProof/>
                <w:webHidden/>
              </w:rPr>
              <w:fldChar w:fldCharType="end"/>
            </w:r>
          </w:hyperlink>
        </w:p>
        <w:p w14:paraId="20D7710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29" w:history="1">
            <w:r w:rsidRPr="00A62630">
              <w:rPr>
                <w:rStyle w:val="Hipervnculo"/>
                <w:rFonts w:cs="Arial"/>
                <w:noProof/>
              </w:rPr>
              <w:t>4. POLÍTICA CONTABLE GENERAL</w:t>
            </w:r>
            <w:r>
              <w:rPr>
                <w:noProof/>
                <w:webHidden/>
              </w:rPr>
              <w:tab/>
            </w:r>
            <w:r>
              <w:rPr>
                <w:noProof/>
                <w:webHidden/>
              </w:rPr>
              <w:fldChar w:fldCharType="begin"/>
            </w:r>
            <w:r>
              <w:rPr>
                <w:noProof/>
                <w:webHidden/>
              </w:rPr>
              <w:instrText xml:space="preserve"> PAGEREF _Toc525721329 \h </w:instrText>
            </w:r>
            <w:r>
              <w:rPr>
                <w:noProof/>
                <w:webHidden/>
              </w:rPr>
            </w:r>
            <w:r>
              <w:rPr>
                <w:noProof/>
                <w:webHidden/>
              </w:rPr>
              <w:fldChar w:fldCharType="separate"/>
            </w:r>
            <w:r>
              <w:rPr>
                <w:noProof/>
                <w:webHidden/>
              </w:rPr>
              <w:t>17</w:t>
            </w:r>
            <w:r>
              <w:rPr>
                <w:noProof/>
                <w:webHidden/>
              </w:rPr>
              <w:fldChar w:fldCharType="end"/>
            </w:r>
          </w:hyperlink>
        </w:p>
        <w:p w14:paraId="0417F90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0" w:history="1">
            <w:r w:rsidRPr="00A62630">
              <w:rPr>
                <w:rStyle w:val="Hipervnculo"/>
                <w:rFonts w:cs="Arial"/>
                <w:noProof/>
              </w:rPr>
              <w:t>5. CARACTERÍSTICAS CUALITATIVAS DE LA INFORMACIÓN FINANCIERA</w:t>
            </w:r>
            <w:r>
              <w:rPr>
                <w:noProof/>
                <w:webHidden/>
              </w:rPr>
              <w:tab/>
            </w:r>
            <w:r>
              <w:rPr>
                <w:noProof/>
                <w:webHidden/>
              </w:rPr>
              <w:fldChar w:fldCharType="begin"/>
            </w:r>
            <w:r>
              <w:rPr>
                <w:noProof/>
                <w:webHidden/>
              </w:rPr>
              <w:instrText xml:space="preserve"> PAGEREF _Toc525721330 \h </w:instrText>
            </w:r>
            <w:r>
              <w:rPr>
                <w:noProof/>
                <w:webHidden/>
              </w:rPr>
            </w:r>
            <w:r>
              <w:rPr>
                <w:noProof/>
                <w:webHidden/>
              </w:rPr>
              <w:fldChar w:fldCharType="separate"/>
            </w:r>
            <w:r>
              <w:rPr>
                <w:noProof/>
                <w:webHidden/>
              </w:rPr>
              <w:t>18</w:t>
            </w:r>
            <w:r>
              <w:rPr>
                <w:noProof/>
                <w:webHidden/>
              </w:rPr>
              <w:fldChar w:fldCharType="end"/>
            </w:r>
          </w:hyperlink>
        </w:p>
        <w:p w14:paraId="26B85E9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1" w:history="1">
            <w:r w:rsidRPr="00A62630">
              <w:rPr>
                <w:rStyle w:val="Hipervnculo"/>
                <w:rFonts w:cs="Arial"/>
                <w:noProof/>
              </w:rPr>
              <w:t>5.1. Características fundamentales</w:t>
            </w:r>
            <w:r>
              <w:rPr>
                <w:noProof/>
                <w:webHidden/>
              </w:rPr>
              <w:tab/>
            </w:r>
            <w:r>
              <w:rPr>
                <w:noProof/>
                <w:webHidden/>
              </w:rPr>
              <w:fldChar w:fldCharType="begin"/>
            </w:r>
            <w:r>
              <w:rPr>
                <w:noProof/>
                <w:webHidden/>
              </w:rPr>
              <w:instrText xml:space="preserve"> PAGEREF _Toc525721331 \h </w:instrText>
            </w:r>
            <w:r>
              <w:rPr>
                <w:noProof/>
                <w:webHidden/>
              </w:rPr>
            </w:r>
            <w:r>
              <w:rPr>
                <w:noProof/>
                <w:webHidden/>
              </w:rPr>
              <w:fldChar w:fldCharType="separate"/>
            </w:r>
            <w:r>
              <w:rPr>
                <w:noProof/>
                <w:webHidden/>
              </w:rPr>
              <w:t>18</w:t>
            </w:r>
            <w:r>
              <w:rPr>
                <w:noProof/>
                <w:webHidden/>
              </w:rPr>
              <w:fldChar w:fldCharType="end"/>
            </w:r>
          </w:hyperlink>
        </w:p>
        <w:p w14:paraId="0A11049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2" w:history="1">
            <w:r w:rsidRPr="00A62630">
              <w:rPr>
                <w:rStyle w:val="Hipervnculo"/>
                <w:rFonts w:cs="Arial"/>
                <w:noProof/>
              </w:rPr>
              <w:t>6. PRINCIPIOS DE CONTABILIDAD PÚBLICA</w:t>
            </w:r>
            <w:r>
              <w:rPr>
                <w:noProof/>
                <w:webHidden/>
              </w:rPr>
              <w:tab/>
            </w:r>
            <w:r>
              <w:rPr>
                <w:noProof/>
                <w:webHidden/>
              </w:rPr>
              <w:fldChar w:fldCharType="begin"/>
            </w:r>
            <w:r>
              <w:rPr>
                <w:noProof/>
                <w:webHidden/>
              </w:rPr>
              <w:instrText xml:space="preserve"> PAGEREF _Toc525721332 \h </w:instrText>
            </w:r>
            <w:r>
              <w:rPr>
                <w:noProof/>
                <w:webHidden/>
              </w:rPr>
            </w:r>
            <w:r>
              <w:rPr>
                <w:noProof/>
                <w:webHidden/>
              </w:rPr>
              <w:fldChar w:fldCharType="separate"/>
            </w:r>
            <w:r>
              <w:rPr>
                <w:noProof/>
                <w:webHidden/>
              </w:rPr>
              <w:t>22</w:t>
            </w:r>
            <w:r>
              <w:rPr>
                <w:noProof/>
                <w:webHidden/>
              </w:rPr>
              <w:fldChar w:fldCharType="end"/>
            </w:r>
          </w:hyperlink>
        </w:p>
        <w:p w14:paraId="49EB0BB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3" w:history="1">
            <w:r w:rsidRPr="00A62630">
              <w:rPr>
                <w:rStyle w:val="Hipervnculo"/>
                <w:rFonts w:cs="Arial"/>
                <w:noProof/>
              </w:rPr>
              <w:t>6.1. Entidad en marcha</w:t>
            </w:r>
            <w:r>
              <w:rPr>
                <w:noProof/>
                <w:webHidden/>
              </w:rPr>
              <w:tab/>
            </w:r>
            <w:r>
              <w:rPr>
                <w:noProof/>
                <w:webHidden/>
              </w:rPr>
              <w:fldChar w:fldCharType="begin"/>
            </w:r>
            <w:r>
              <w:rPr>
                <w:noProof/>
                <w:webHidden/>
              </w:rPr>
              <w:instrText xml:space="preserve"> PAGEREF _Toc525721333 \h </w:instrText>
            </w:r>
            <w:r>
              <w:rPr>
                <w:noProof/>
                <w:webHidden/>
              </w:rPr>
            </w:r>
            <w:r>
              <w:rPr>
                <w:noProof/>
                <w:webHidden/>
              </w:rPr>
              <w:fldChar w:fldCharType="separate"/>
            </w:r>
            <w:r>
              <w:rPr>
                <w:noProof/>
                <w:webHidden/>
              </w:rPr>
              <w:t>22</w:t>
            </w:r>
            <w:r>
              <w:rPr>
                <w:noProof/>
                <w:webHidden/>
              </w:rPr>
              <w:fldChar w:fldCharType="end"/>
            </w:r>
          </w:hyperlink>
        </w:p>
        <w:p w14:paraId="592D886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4" w:history="1">
            <w:r w:rsidRPr="00A62630">
              <w:rPr>
                <w:rStyle w:val="Hipervnculo"/>
                <w:rFonts w:cs="Arial"/>
                <w:noProof/>
              </w:rPr>
              <w:t>6.2. Devengo</w:t>
            </w:r>
            <w:r>
              <w:rPr>
                <w:noProof/>
                <w:webHidden/>
              </w:rPr>
              <w:tab/>
            </w:r>
            <w:r>
              <w:rPr>
                <w:noProof/>
                <w:webHidden/>
              </w:rPr>
              <w:fldChar w:fldCharType="begin"/>
            </w:r>
            <w:r>
              <w:rPr>
                <w:noProof/>
                <w:webHidden/>
              </w:rPr>
              <w:instrText xml:space="preserve"> PAGEREF _Toc525721334 \h </w:instrText>
            </w:r>
            <w:r>
              <w:rPr>
                <w:noProof/>
                <w:webHidden/>
              </w:rPr>
            </w:r>
            <w:r>
              <w:rPr>
                <w:noProof/>
                <w:webHidden/>
              </w:rPr>
              <w:fldChar w:fldCharType="separate"/>
            </w:r>
            <w:r>
              <w:rPr>
                <w:noProof/>
                <w:webHidden/>
              </w:rPr>
              <w:t>22</w:t>
            </w:r>
            <w:r>
              <w:rPr>
                <w:noProof/>
                <w:webHidden/>
              </w:rPr>
              <w:fldChar w:fldCharType="end"/>
            </w:r>
          </w:hyperlink>
        </w:p>
        <w:p w14:paraId="42D5D8B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5" w:history="1">
            <w:r w:rsidRPr="00A62630">
              <w:rPr>
                <w:rStyle w:val="Hipervnculo"/>
                <w:rFonts w:cs="Arial"/>
                <w:noProof/>
              </w:rPr>
              <w:t>6.3. Esencia sobre forma</w:t>
            </w:r>
            <w:r>
              <w:rPr>
                <w:noProof/>
                <w:webHidden/>
              </w:rPr>
              <w:tab/>
            </w:r>
            <w:r>
              <w:rPr>
                <w:noProof/>
                <w:webHidden/>
              </w:rPr>
              <w:fldChar w:fldCharType="begin"/>
            </w:r>
            <w:r>
              <w:rPr>
                <w:noProof/>
                <w:webHidden/>
              </w:rPr>
              <w:instrText xml:space="preserve"> PAGEREF _Toc525721335 \h </w:instrText>
            </w:r>
            <w:r>
              <w:rPr>
                <w:noProof/>
                <w:webHidden/>
              </w:rPr>
            </w:r>
            <w:r>
              <w:rPr>
                <w:noProof/>
                <w:webHidden/>
              </w:rPr>
              <w:fldChar w:fldCharType="separate"/>
            </w:r>
            <w:r>
              <w:rPr>
                <w:noProof/>
                <w:webHidden/>
              </w:rPr>
              <w:t>22</w:t>
            </w:r>
            <w:r>
              <w:rPr>
                <w:noProof/>
                <w:webHidden/>
              </w:rPr>
              <w:fldChar w:fldCharType="end"/>
            </w:r>
          </w:hyperlink>
        </w:p>
        <w:p w14:paraId="20E7B86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6" w:history="1">
            <w:r w:rsidRPr="00A62630">
              <w:rPr>
                <w:rStyle w:val="Hipervnculo"/>
                <w:rFonts w:cs="Arial"/>
                <w:noProof/>
              </w:rPr>
              <w:t>6.4. Asociación</w:t>
            </w:r>
            <w:r>
              <w:rPr>
                <w:noProof/>
                <w:webHidden/>
              </w:rPr>
              <w:tab/>
            </w:r>
            <w:r>
              <w:rPr>
                <w:noProof/>
                <w:webHidden/>
              </w:rPr>
              <w:fldChar w:fldCharType="begin"/>
            </w:r>
            <w:r>
              <w:rPr>
                <w:noProof/>
                <w:webHidden/>
              </w:rPr>
              <w:instrText xml:space="preserve"> PAGEREF _Toc525721336 \h </w:instrText>
            </w:r>
            <w:r>
              <w:rPr>
                <w:noProof/>
                <w:webHidden/>
              </w:rPr>
            </w:r>
            <w:r>
              <w:rPr>
                <w:noProof/>
                <w:webHidden/>
              </w:rPr>
              <w:fldChar w:fldCharType="separate"/>
            </w:r>
            <w:r>
              <w:rPr>
                <w:noProof/>
                <w:webHidden/>
              </w:rPr>
              <w:t>23</w:t>
            </w:r>
            <w:r>
              <w:rPr>
                <w:noProof/>
                <w:webHidden/>
              </w:rPr>
              <w:fldChar w:fldCharType="end"/>
            </w:r>
          </w:hyperlink>
        </w:p>
        <w:p w14:paraId="749A0BA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7" w:history="1">
            <w:r w:rsidRPr="00A62630">
              <w:rPr>
                <w:rStyle w:val="Hipervnculo"/>
                <w:rFonts w:cs="Arial"/>
                <w:noProof/>
              </w:rPr>
              <w:t>6.5. Uniformidad</w:t>
            </w:r>
            <w:r>
              <w:rPr>
                <w:noProof/>
                <w:webHidden/>
              </w:rPr>
              <w:tab/>
            </w:r>
            <w:r>
              <w:rPr>
                <w:noProof/>
                <w:webHidden/>
              </w:rPr>
              <w:fldChar w:fldCharType="begin"/>
            </w:r>
            <w:r>
              <w:rPr>
                <w:noProof/>
                <w:webHidden/>
              </w:rPr>
              <w:instrText xml:space="preserve"> PAGEREF _Toc525721337 \h </w:instrText>
            </w:r>
            <w:r>
              <w:rPr>
                <w:noProof/>
                <w:webHidden/>
              </w:rPr>
            </w:r>
            <w:r>
              <w:rPr>
                <w:noProof/>
                <w:webHidden/>
              </w:rPr>
              <w:fldChar w:fldCharType="separate"/>
            </w:r>
            <w:r>
              <w:rPr>
                <w:noProof/>
                <w:webHidden/>
              </w:rPr>
              <w:t>23</w:t>
            </w:r>
            <w:r>
              <w:rPr>
                <w:noProof/>
                <w:webHidden/>
              </w:rPr>
              <w:fldChar w:fldCharType="end"/>
            </w:r>
          </w:hyperlink>
        </w:p>
        <w:p w14:paraId="54BED7E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8" w:history="1">
            <w:r w:rsidRPr="00A62630">
              <w:rPr>
                <w:rStyle w:val="Hipervnculo"/>
                <w:rFonts w:cs="Arial"/>
                <w:noProof/>
              </w:rPr>
              <w:t>6.6. No compensación</w:t>
            </w:r>
            <w:r>
              <w:rPr>
                <w:noProof/>
                <w:webHidden/>
              </w:rPr>
              <w:tab/>
            </w:r>
            <w:r>
              <w:rPr>
                <w:noProof/>
                <w:webHidden/>
              </w:rPr>
              <w:fldChar w:fldCharType="begin"/>
            </w:r>
            <w:r>
              <w:rPr>
                <w:noProof/>
                <w:webHidden/>
              </w:rPr>
              <w:instrText xml:space="preserve"> PAGEREF _Toc525721338 \h </w:instrText>
            </w:r>
            <w:r>
              <w:rPr>
                <w:noProof/>
                <w:webHidden/>
              </w:rPr>
            </w:r>
            <w:r>
              <w:rPr>
                <w:noProof/>
                <w:webHidden/>
              </w:rPr>
              <w:fldChar w:fldCharType="separate"/>
            </w:r>
            <w:r>
              <w:rPr>
                <w:noProof/>
                <w:webHidden/>
              </w:rPr>
              <w:t>23</w:t>
            </w:r>
            <w:r>
              <w:rPr>
                <w:noProof/>
                <w:webHidden/>
              </w:rPr>
              <w:fldChar w:fldCharType="end"/>
            </w:r>
          </w:hyperlink>
        </w:p>
        <w:p w14:paraId="386D435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39" w:history="1">
            <w:r w:rsidRPr="00A62630">
              <w:rPr>
                <w:rStyle w:val="Hipervnculo"/>
                <w:rFonts w:cs="Arial"/>
                <w:noProof/>
              </w:rPr>
              <w:t>6.7. Periodo contable</w:t>
            </w:r>
            <w:r>
              <w:rPr>
                <w:noProof/>
                <w:webHidden/>
              </w:rPr>
              <w:tab/>
            </w:r>
            <w:r>
              <w:rPr>
                <w:noProof/>
                <w:webHidden/>
              </w:rPr>
              <w:fldChar w:fldCharType="begin"/>
            </w:r>
            <w:r>
              <w:rPr>
                <w:noProof/>
                <w:webHidden/>
              </w:rPr>
              <w:instrText xml:space="preserve"> PAGEREF _Toc525721339 \h </w:instrText>
            </w:r>
            <w:r>
              <w:rPr>
                <w:noProof/>
                <w:webHidden/>
              </w:rPr>
            </w:r>
            <w:r>
              <w:rPr>
                <w:noProof/>
                <w:webHidden/>
              </w:rPr>
              <w:fldChar w:fldCharType="separate"/>
            </w:r>
            <w:r>
              <w:rPr>
                <w:noProof/>
                <w:webHidden/>
              </w:rPr>
              <w:t>23</w:t>
            </w:r>
            <w:r>
              <w:rPr>
                <w:noProof/>
                <w:webHidden/>
              </w:rPr>
              <w:fldChar w:fldCharType="end"/>
            </w:r>
          </w:hyperlink>
        </w:p>
        <w:p w14:paraId="52BCF73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0" w:history="1">
            <w:r w:rsidRPr="00A62630">
              <w:rPr>
                <w:rStyle w:val="Hipervnculo"/>
                <w:rFonts w:cs="Arial"/>
                <w:noProof/>
              </w:rPr>
              <w:t>7. DEFINICIÓN DE LOS ELEMENTOS DE LOS ESTADOS FINANCIEROS</w:t>
            </w:r>
            <w:r>
              <w:rPr>
                <w:noProof/>
                <w:webHidden/>
              </w:rPr>
              <w:tab/>
            </w:r>
            <w:r>
              <w:rPr>
                <w:noProof/>
                <w:webHidden/>
              </w:rPr>
              <w:fldChar w:fldCharType="begin"/>
            </w:r>
            <w:r>
              <w:rPr>
                <w:noProof/>
                <w:webHidden/>
              </w:rPr>
              <w:instrText xml:space="preserve"> PAGEREF _Toc525721340 \h </w:instrText>
            </w:r>
            <w:r>
              <w:rPr>
                <w:noProof/>
                <w:webHidden/>
              </w:rPr>
            </w:r>
            <w:r>
              <w:rPr>
                <w:noProof/>
                <w:webHidden/>
              </w:rPr>
              <w:fldChar w:fldCharType="separate"/>
            </w:r>
            <w:r>
              <w:rPr>
                <w:noProof/>
                <w:webHidden/>
              </w:rPr>
              <w:t>24</w:t>
            </w:r>
            <w:r>
              <w:rPr>
                <w:noProof/>
                <w:webHidden/>
              </w:rPr>
              <w:fldChar w:fldCharType="end"/>
            </w:r>
          </w:hyperlink>
        </w:p>
        <w:p w14:paraId="36658D1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1" w:history="1">
            <w:r w:rsidRPr="00A62630">
              <w:rPr>
                <w:rStyle w:val="Hipervnculo"/>
                <w:rFonts w:cs="Arial"/>
                <w:noProof/>
              </w:rPr>
              <w:t>7.1. Activos</w:t>
            </w:r>
            <w:r>
              <w:rPr>
                <w:noProof/>
                <w:webHidden/>
              </w:rPr>
              <w:tab/>
            </w:r>
            <w:r>
              <w:rPr>
                <w:noProof/>
                <w:webHidden/>
              </w:rPr>
              <w:fldChar w:fldCharType="begin"/>
            </w:r>
            <w:r>
              <w:rPr>
                <w:noProof/>
                <w:webHidden/>
              </w:rPr>
              <w:instrText xml:space="preserve"> PAGEREF _Toc525721341 \h </w:instrText>
            </w:r>
            <w:r>
              <w:rPr>
                <w:noProof/>
                <w:webHidden/>
              </w:rPr>
            </w:r>
            <w:r>
              <w:rPr>
                <w:noProof/>
                <w:webHidden/>
              </w:rPr>
              <w:fldChar w:fldCharType="separate"/>
            </w:r>
            <w:r>
              <w:rPr>
                <w:noProof/>
                <w:webHidden/>
              </w:rPr>
              <w:t>24</w:t>
            </w:r>
            <w:r>
              <w:rPr>
                <w:noProof/>
                <w:webHidden/>
              </w:rPr>
              <w:fldChar w:fldCharType="end"/>
            </w:r>
          </w:hyperlink>
        </w:p>
        <w:p w14:paraId="70E2927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2" w:history="1">
            <w:r w:rsidRPr="00A62630">
              <w:rPr>
                <w:rStyle w:val="Hipervnculo"/>
                <w:rFonts w:cs="Arial"/>
                <w:noProof/>
              </w:rPr>
              <w:t>7.2. Pasivos</w:t>
            </w:r>
            <w:r>
              <w:rPr>
                <w:noProof/>
                <w:webHidden/>
              </w:rPr>
              <w:tab/>
            </w:r>
            <w:r>
              <w:rPr>
                <w:noProof/>
                <w:webHidden/>
              </w:rPr>
              <w:fldChar w:fldCharType="begin"/>
            </w:r>
            <w:r>
              <w:rPr>
                <w:noProof/>
                <w:webHidden/>
              </w:rPr>
              <w:instrText xml:space="preserve"> PAGEREF _Toc525721342 \h </w:instrText>
            </w:r>
            <w:r>
              <w:rPr>
                <w:noProof/>
                <w:webHidden/>
              </w:rPr>
            </w:r>
            <w:r>
              <w:rPr>
                <w:noProof/>
                <w:webHidden/>
              </w:rPr>
              <w:fldChar w:fldCharType="separate"/>
            </w:r>
            <w:r>
              <w:rPr>
                <w:noProof/>
                <w:webHidden/>
              </w:rPr>
              <w:t>26</w:t>
            </w:r>
            <w:r>
              <w:rPr>
                <w:noProof/>
                <w:webHidden/>
              </w:rPr>
              <w:fldChar w:fldCharType="end"/>
            </w:r>
          </w:hyperlink>
        </w:p>
        <w:p w14:paraId="3F1969F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3" w:history="1">
            <w:r w:rsidRPr="00A62630">
              <w:rPr>
                <w:rStyle w:val="Hipervnculo"/>
                <w:rFonts w:cs="Arial"/>
                <w:noProof/>
              </w:rPr>
              <w:t>7.3. Patrimonio</w:t>
            </w:r>
            <w:r>
              <w:rPr>
                <w:noProof/>
                <w:webHidden/>
              </w:rPr>
              <w:tab/>
            </w:r>
            <w:r>
              <w:rPr>
                <w:noProof/>
                <w:webHidden/>
              </w:rPr>
              <w:fldChar w:fldCharType="begin"/>
            </w:r>
            <w:r>
              <w:rPr>
                <w:noProof/>
                <w:webHidden/>
              </w:rPr>
              <w:instrText xml:space="preserve"> PAGEREF _Toc525721343 \h </w:instrText>
            </w:r>
            <w:r>
              <w:rPr>
                <w:noProof/>
                <w:webHidden/>
              </w:rPr>
            </w:r>
            <w:r>
              <w:rPr>
                <w:noProof/>
                <w:webHidden/>
              </w:rPr>
              <w:fldChar w:fldCharType="separate"/>
            </w:r>
            <w:r>
              <w:rPr>
                <w:noProof/>
                <w:webHidden/>
              </w:rPr>
              <w:t>27</w:t>
            </w:r>
            <w:r>
              <w:rPr>
                <w:noProof/>
                <w:webHidden/>
              </w:rPr>
              <w:fldChar w:fldCharType="end"/>
            </w:r>
          </w:hyperlink>
        </w:p>
        <w:p w14:paraId="4D0241D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4" w:history="1">
            <w:r w:rsidRPr="00A62630">
              <w:rPr>
                <w:rStyle w:val="Hipervnculo"/>
                <w:rFonts w:cs="Arial"/>
                <w:noProof/>
              </w:rPr>
              <w:t>7.4. Ingresos</w:t>
            </w:r>
            <w:r>
              <w:rPr>
                <w:noProof/>
                <w:webHidden/>
              </w:rPr>
              <w:tab/>
            </w:r>
            <w:r>
              <w:rPr>
                <w:noProof/>
                <w:webHidden/>
              </w:rPr>
              <w:fldChar w:fldCharType="begin"/>
            </w:r>
            <w:r>
              <w:rPr>
                <w:noProof/>
                <w:webHidden/>
              </w:rPr>
              <w:instrText xml:space="preserve"> PAGEREF _Toc525721344 \h </w:instrText>
            </w:r>
            <w:r>
              <w:rPr>
                <w:noProof/>
                <w:webHidden/>
              </w:rPr>
            </w:r>
            <w:r>
              <w:rPr>
                <w:noProof/>
                <w:webHidden/>
              </w:rPr>
              <w:fldChar w:fldCharType="separate"/>
            </w:r>
            <w:r>
              <w:rPr>
                <w:noProof/>
                <w:webHidden/>
              </w:rPr>
              <w:t>27</w:t>
            </w:r>
            <w:r>
              <w:rPr>
                <w:noProof/>
                <w:webHidden/>
              </w:rPr>
              <w:fldChar w:fldCharType="end"/>
            </w:r>
          </w:hyperlink>
        </w:p>
        <w:p w14:paraId="6AA5395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5" w:history="1">
            <w:r w:rsidRPr="00A62630">
              <w:rPr>
                <w:rStyle w:val="Hipervnculo"/>
                <w:rFonts w:cs="Arial"/>
                <w:noProof/>
              </w:rPr>
              <w:t>7.5. Gastos</w:t>
            </w:r>
            <w:r>
              <w:rPr>
                <w:noProof/>
                <w:webHidden/>
              </w:rPr>
              <w:tab/>
            </w:r>
            <w:r>
              <w:rPr>
                <w:noProof/>
                <w:webHidden/>
              </w:rPr>
              <w:fldChar w:fldCharType="begin"/>
            </w:r>
            <w:r>
              <w:rPr>
                <w:noProof/>
                <w:webHidden/>
              </w:rPr>
              <w:instrText xml:space="preserve"> PAGEREF _Toc525721345 \h </w:instrText>
            </w:r>
            <w:r>
              <w:rPr>
                <w:noProof/>
                <w:webHidden/>
              </w:rPr>
            </w:r>
            <w:r>
              <w:rPr>
                <w:noProof/>
                <w:webHidden/>
              </w:rPr>
              <w:fldChar w:fldCharType="separate"/>
            </w:r>
            <w:r>
              <w:rPr>
                <w:noProof/>
                <w:webHidden/>
              </w:rPr>
              <w:t>27</w:t>
            </w:r>
            <w:r>
              <w:rPr>
                <w:noProof/>
                <w:webHidden/>
              </w:rPr>
              <w:fldChar w:fldCharType="end"/>
            </w:r>
          </w:hyperlink>
        </w:p>
        <w:p w14:paraId="5F957CB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6" w:history="1">
            <w:r w:rsidRPr="00A62630">
              <w:rPr>
                <w:rStyle w:val="Hipervnculo"/>
                <w:rFonts w:cs="Arial"/>
                <w:noProof/>
              </w:rPr>
              <w:t>CAPITULO III. ACTIVOS</w:t>
            </w:r>
            <w:r>
              <w:rPr>
                <w:noProof/>
                <w:webHidden/>
              </w:rPr>
              <w:tab/>
            </w:r>
            <w:r>
              <w:rPr>
                <w:noProof/>
                <w:webHidden/>
              </w:rPr>
              <w:fldChar w:fldCharType="begin"/>
            </w:r>
            <w:r>
              <w:rPr>
                <w:noProof/>
                <w:webHidden/>
              </w:rPr>
              <w:instrText xml:space="preserve"> PAGEREF _Toc525721346 \h </w:instrText>
            </w:r>
            <w:r>
              <w:rPr>
                <w:noProof/>
                <w:webHidden/>
              </w:rPr>
            </w:r>
            <w:r>
              <w:rPr>
                <w:noProof/>
                <w:webHidden/>
              </w:rPr>
              <w:fldChar w:fldCharType="separate"/>
            </w:r>
            <w:r>
              <w:rPr>
                <w:noProof/>
                <w:webHidden/>
              </w:rPr>
              <w:t>28</w:t>
            </w:r>
            <w:r>
              <w:rPr>
                <w:noProof/>
                <w:webHidden/>
              </w:rPr>
              <w:fldChar w:fldCharType="end"/>
            </w:r>
          </w:hyperlink>
        </w:p>
        <w:p w14:paraId="04DE8EF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7" w:history="1">
            <w:r w:rsidRPr="00A62630">
              <w:rPr>
                <w:rStyle w:val="Hipervnculo"/>
                <w:rFonts w:cs="Arial"/>
                <w:noProof/>
              </w:rPr>
              <w:t>1. POLÍTICA DE EFECTIVO Y EQUIVALENTES AL EFECTIVO</w:t>
            </w:r>
            <w:r>
              <w:rPr>
                <w:noProof/>
                <w:webHidden/>
              </w:rPr>
              <w:tab/>
            </w:r>
            <w:r>
              <w:rPr>
                <w:noProof/>
                <w:webHidden/>
              </w:rPr>
              <w:fldChar w:fldCharType="begin"/>
            </w:r>
            <w:r>
              <w:rPr>
                <w:noProof/>
                <w:webHidden/>
              </w:rPr>
              <w:instrText xml:space="preserve"> PAGEREF _Toc525721347 \h </w:instrText>
            </w:r>
            <w:r>
              <w:rPr>
                <w:noProof/>
                <w:webHidden/>
              </w:rPr>
            </w:r>
            <w:r>
              <w:rPr>
                <w:noProof/>
                <w:webHidden/>
              </w:rPr>
              <w:fldChar w:fldCharType="separate"/>
            </w:r>
            <w:r>
              <w:rPr>
                <w:noProof/>
                <w:webHidden/>
              </w:rPr>
              <w:t>28</w:t>
            </w:r>
            <w:r>
              <w:rPr>
                <w:noProof/>
                <w:webHidden/>
              </w:rPr>
              <w:fldChar w:fldCharType="end"/>
            </w:r>
          </w:hyperlink>
        </w:p>
        <w:p w14:paraId="691E5CD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8" w:history="1">
            <w:r w:rsidRPr="00A62630">
              <w:rPr>
                <w:rStyle w:val="Hipervnculo"/>
                <w:rFonts w:cs="Arial"/>
                <w:noProof/>
              </w:rPr>
              <w:t>1.1 Objetivo</w:t>
            </w:r>
            <w:r>
              <w:rPr>
                <w:noProof/>
                <w:webHidden/>
              </w:rPr>
              <w:tab/>
            </w:r>
            <w:r>
              <w:rPr>
                <w:noProof/>
                <w:webHidden/>
              </w:rPr>
              <w:fldChar w:fldCharType="begin"/>
            </w:r>
            <w:r>
              <w:rPr>
                <w:noProof/>
                <w:webHidden/>
              </w:rPr>
              <w:instrText xml:space="preserve"> PAGEREF _Toc525721348 \h </w:instrText>
            </w:r>
            <w:r>
              <w:rPr>
                <w:noProof/>
                <w:webHidden/>
              </w:rPr>
            </w:r>
            <w:r>
              <w:rPr>
                <w:noProof/>
                <w:webHidden/>
              </w:rPr>
              <w:fldChar w:fldCharType="separate"/>
            </w:r>
            <w:r>
              <w:rPr>
                <w:noProof/>
                <w:webHidden/>
              </w:rPr>
              <w:t>28</w:t>
            </w:r>
            <w:r>
              <w:rPr>
                <w:noProof/>
                <w:webHidden/>
              </w:rPr>
              <w:fldChar w:fldCharType="end"/>
            </w:r>
          </w:hyperlink>
        </w:p>
        <w:p w14:paraId="4CDC5AC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49" w:history="1">
            <w:r w:rsidRPr="00A62630">
              <w:rPr>
                <w:rStyle w:val="Hipervnculo"/>
                <w:rFonts w:cs="Arial"/>
                <w:noProof/>
              </w:rPr>
              <w:t>1.2. Normatividad relacionada</w:t>
            </w:r>
            <w:r>
              <w:rPr>
                <w:noProof/>
                <w:webHidden/>
              </w:rPr>
              <w:tab/>
            </w:r>
            <w:r>
              <w:rPr>
                <w:noProof/>
                <w:webHidden/>
              </w:rPr>
              <w:fldChar w:fldCharType="begin"/>
            </w:r>
            <w:r>
              <w:rPr>
                <w:noProof/>
                <w:webHidden/>
              </w:rPr>
              <w:instrText xml:space="preserve"> PAGEREF _Toc525721349 \h </w:instrText>
            </w:r>
            <w:r>
              <w:rPr>
                <w:noProof/>
                <w:webHidden/>
              </w:rPr>
            </w:r>
            <w:r>
              <w:rPr>
                <w:noProof/>
                <w:webHidden/>
              </w:rPr>
              <w:fldChar w:fldCharType="separate"/>
            </w:r>
            <w:r>
              <w:rPr>
                <w:noProof/>
                <w:webHidden/>
              </w:rPr>
              <w:t>28</w:t>
            </w:r>
            <w:r>
              <w:rPr>
                <w:noProof/>
                <w:webHidden/>
              </w:rPr>
              <w:fldChar w:fldCharType="end"/>
            </w:r>
          </w:hyperlink>
        </w:p>
        <w:p w14:paraId="3C945B3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0" w:history="1">
            <w:r w:rsidRPr="00A62630">
              <w:rPr>
                <w:rStyle w:val="Hipervnculo"/>
                <w:rFonts w:cs="Arial"/>
                <w:noProof/>
              </w:rPr>
              <w:t>1.3. Alcance</w:t>
            </w:r>
            <w:r>
              <w:rPr>
                <w:noProof/>
                <w:webHidden/>
              </w:rPr>
              <w:tab/>
            </w:r>
            <w:r>
              <w:rPr>
                <w:noProof/>
                <w:webHidden/>
              </w:rPr>
              <w:fldChar w:fldCharType="begin"/>
            </w:r>
            <w:r>
              <w:rPr>
                <w:noProof/>
                <w:webHidden/>
              </w:rPr>
              <w:instrText xml:space="preserve"> PAGEREF _Toc525721350 \h </w:instrText>
            </w:r>
            <w:r>
              <w:rPr>
                <w:noProof/>
                <w:webHidden/>
              </w:rPr>
            </w:r>
            <w:r>
              <w:rPr>
                <w:noProof/>
                <w:webHidden/>
              </w:rPr>
              <w:fldChar w:fldCharType="separate"/>
            </w:r>
            <w:r>
              <w:rPr>
                <w:noProof/>
                <w:webHidden/>
              </w:rPr>
              <w:t>28</w:t>
            </w:r>
            <w:r>
              <w:rPr>
                <w:noProof/>
                <w:webHidden/>
              </w:rPr>
              <w:fldChar w:fldCharType="end"/>
            </w:r>
          </w:hyperlink>
        </w:p>
        <w:p w14:paraId="227D1B2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1" w:history="1">
            <w:r w:rsidRPr="00A62630">
              <w:rPr>
                <w:rStyle w:val="Hipervnculo"/>
                <w:rFonts w:cs="Arial"/>
                <w:noProof/>
              </w:rPr>
              <w:t>1.4. Política Contable General</w:t>
            </w:r>
            <w:r>
              <w:rPr>
                <w:noProof/>
                <w:webHidden/>
              </w:rPr>
              <w:tab/>
            </w:r>
            <w:r>
              <w:rPr>
                <w:noProof/>
                <w:webHidden/>
              </w:rPr>
              <w:fldChar w:fldCharType="begin"/>
            </w:r>
            <w:r>
              <w:rPr>
                <w:noProof/>
                <w:webHidden/>
              </w:rPr>
              <w:instrText xml:space="preserve"> PAGEREF _Toc525721351 \h </w:instrText>
            </w:r>
            <w:r>
              <w:rPr>
                <w:noProof/>
                <w:webHidden/>
              </w:rPr>
            </w:r>
            <w:r>
              <w:rPr>
                <w:noProof/>
                <w:webHidden/>
              </w:rPr>
              <w:fldChar w:fldCharType="separate"/>
            </w:r>
            <w:r>
              <w:rPr>
                <w:noProof/>
                <w:webHidden/>
              </w:rPr>
              <w:t>29</w:t>
            </w:r>
            <w:r>
              <w:rPr>
                <w:noProof/>
                <w:webHidden/>
              </w:rPr>
              <w:fldChar w:fldCharType="end"/>
            </w:r>
          </w:hyperlink>
        </w:p>
        <w:p w14:paraId="3487D23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2" w:history="1">
            <w:r w:rsidRPr="00A62630">
              <w:rPr>
                <w:rStyle w:val="Hipervnculo"/>
                <w:rFonts w:cs="Arial"/>
                <w:noProof/>
              </w:rPr>
              <w:t>1.5. Reconocimiento</w:t>
            </w:r>
            <w:r>
              <w:rPr>
                <w:noProof/>
                <w:webHidden/>
              </w:rPr>
              <w:tab/>
            </w:r>
            <w:r>
              <w:rPr>
                <w:noProof/>
                <w:webHidden/>
              </w:rPr>
              <w:fldChar w:fldCharType="begin"/>
            </w:r>
            <w:r>
              <w:rPr>
                <w:noProof/>
                <w:webHidden/>
              </w:rPr>
              <w:instrText xml:space="preserve"> PAGEREF _Toc525721352 \h </w:instrText>
            </w:r>
            <w:r>
              <w:rPr>
                <w:noProof/>
                <w:webHidden/>
              </w:rPr>
            </w:r>
            <w:r>
              <w:rPr>
                <w:noProof/>
                <w:webHidden/>
              </w:rPr>
              <w:fldChar w:fldCharType="separate"/>
            </w:r>
            <w:r>
              <w:rPr>
                <w:noProof/>
                <w:webHidden/>
              </w:rPr>
              <w:t>29</w:t>
            </w:r>
            <w:r>
              <w:rPr>
                <w:noProof/>
                <w:webHidden/>
              </w:rPr>
              <w:fldChar w:fldCharType="end"/>
            </w:r>
          </w:hyperlink>
        </w:p>
        <w:p w14:paraId="5998EF3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3" w:history="1">
            <w:r w:rsidRPr="00A62630">
              <w:rPr>
                <w:rStyle w:val="Hipervnculo"/>
                <w:rFonts w:cs="Arial"/>
                <w:noProof/>
              </w:rPr>
              <w:t>1.6. Medición Inicial y posterior</w:t>
            </w:r>
            <w:r>
              <w:rPr>
                <w:noProof/>
                <w:webHidden/>
              </w:rPr>
              <w:tab/>
            </w:r>
            <w:r>
              <w:rPr>
                <w:noProof/>
                <w:webHidden/>
              </w:rPr>
              <w:fldChar w:fldCharType="begin"/>
            </w:r>
            <w:r>
              <w:rPr>
                <w:noProof/>
                <w:webHidden/>
              </w:rPr>
              <w:instrText xml:space="preserve"> PAGEREF _Toc525721353 \h </w:instrText>
            </w:r>
            <w:r>
              <w:rPr>
                <w:noProof/>
                <w:webHidden/>
              </w:rPr>
            </w:r>
            <w:r>
              <w:rPr>
                <w:noProof/>
                <w:webHidden/>
              </w:rPr>
              <w:fldChar w:fldCharType="separate"/>
            </w:r>
            <w:r>
              <w:rPr>
                <w:noProof/>
                <w:webHidden/>
              </w:rPr>
              <w:t>29</w:t>
            </w:r>
            <w:r>
              <w:rPr>
                <w:noProof/>
                <w:webHidden/>
              </w:rPr>
              <w:fldChar w:fldCharType="end"/>
            </w:r>
          </w:hyperlink>
        </w:p>
        <w:p w14:paraId="5B1DB2E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4" w:history="1">
            <w:r w:rsidRPr="00A62630">
              <w:rPr>
                <w:rStyle w:val="Hipervnculo"/>
                <w:rFonts w:cs="Arial"/>
                <w:noProof/>
              </w:rPr>
              <w:t>1.7. Gestión de riesgos</w:t>
            </w:r>
            <w:r>
              <w:rPr>
                <w:noProof/>
                <w:webHidden/>
              </w:rPr>
              <w:tab/>
            </w:r>
            <w:r>
              <w:rPr>
                <w:noProof/>
                <w:webHidden/>
              </w:rPr>
              <w:fldChar w:fldCharType="begin"/>
            </w:r>
            <w:r>
              <w:rPr>
                <w:noProof/>
                <w:webHidden/>
              </w:rPr>
              <w:instrText xml:space="preserve"> PAGEREF _Toc525721354 \h </w:instrText>
            </w:r>
            <w:r>
              <w:rPr>
                <w:noProof/>
                <w:webHidden/>
              </w:rPr>
            </w:r>
            <w:r>
              <w:rPr>
                <w:noProof/>
                <w:webHidden/>
              </w:rPr>
              <w:fldChar w:fldCharType="separate"/>
            </w:r>
            <w:r>
              <w:rPr>
                <w:noProof/>
                <w:webHidden/>
              </w:rPr>
              <w:t>29</w:t>
            </w:r>
            <w:r>
              <w:rPr>
                <w:noProof/>
                <w:webHidden/>
              </w:rPr>
              <w:fldChar w:fldCharType="end"/>
            </w:r>
          </w:hyperlink>
        </w:p>
        <w:p w14:paraId="1D65EC7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5" w:history="1">
            <w:r w:rsidRPr="00A62630">
              <w:rPr>
                <w:rStyle w:val="Hipervnculo"/>
                <w:rFonts w:cs="Arial"/>
                <w:noProof/>
              </w:rPr>
              <w:t>1.8. Controles Contables</w:t>
            </w:r>
            <w:r>
              <w:rPr>
                <w:noProof/>
                <w:webHidden/>
              </w:rPr>
              <w:tab/>
            </w:r>
            <w:r>
              <w:rPr>
                <w:noProof/>
                <w:webHidden/>
              </w:rPr>
              <w:fldChar w:fldCharType="begin"/>
            </w:r>
            <w:r>
              <w:rPr>
                <w:noProof/>
                <w:webHidden/>
              </w:rPr>
              <w:instrText xml:space="preserve"> PAGEREF _Toc525721355 \h </w:instrText>
            </w:r>
            <w:r>
              <w:rPr>
                <w:noProof/>
                <w:webHidden/>
              </w:rPr>
            </w:r>
            <w:r>
              <w:rPr>
                <w:noProof/>
                <w:webHidden/>
              </w:rPr>
              <w:fldChar w:fldCharType="separate"/>
            </w:r>
            <w:r>
              <w:rPr>
                <w:noProof/>
                <w:webHidden/>
              </w:rPr>
              <w:t>30</w:t>
            </w:r>
            <w:r>
              <w:rPr>
                <w:noProof/>
                <w:webHidden/>
              </w:rPr>
              <w:fldChar w:fldCharType="end"/>
            </w:r>
          </w:hyperlink>
        </w:p>
        <w:p w14:paraId="6A2C635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6" w:history="1">
            <w:r w:rsidRPr="00A62630">
              <w:rPr>
                <w:rStyle w:val="Hipervnculo"/>
                <w:rFonts w:cs="Arial"/>
                <w:noProof/>
              </w:rPr>
              <w:t>1.9. Revelaciones</w:t>
            </w:r>
            <w:r>
              <w:rPr>
                <w:noProof/>
                <w:webHidden/>
              </w:rPr>
              <w:tab/>
            </w:r>
            <w:r>
              <w:rPr>
                <w:noProof/>
                <w:webHidden/>
              </w:rPr>
              <w:fldChar w:fldCharType="begin"/>
            </w:r>
            <w:r>
              <w:rPr>
                <w:noProof/>
                <w:webHidden/>
              </w:rPr>
              <w:instrText xml:space="preserve"> PAGEREF _Toc525721356 \h </w:instrText>
            </w:r>
            <w:r>
              <w:rPr>
                <w:noProof/>
                <w:webHidden/>
              </w:rPr>
            </w:r>
            <w:r>
              <w:rPr>
                <w:noProof/>
                <w:webHidden/>
              </w:rPr>
              <w:fldChar w:fldCharType="separate"/>
            </w:r>
            <w:r>
              <w:rPr>
                <w:noProof/>
                <w:webHidden/>
              </w:rPr>
              <w:t>31</w:t>
            </w:r>
            <w:r>
              <w:rPr>
                <w:noProof/>
                <w:webHidden/>
              </w:rPr>
              <w:fldChar w:fldCharType="end"/>
            </w:r>
          </w:hyperlink>
        </w:p>
        <w:p w14:paraId="43EB2A7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7" w:history="1">
            <w:r w:rsidRPr="00A62630">
              <w:rPr>
                <w:rStyle w:val="Hipervnculo"/>
                <w:rFonts w:cs="Arial"/>
                <w:noProof/>
                <w:shd w:val="clear" w:color="auto" w:fill="FFFFFF"/>
              </w:rPr>
              <w:t>2. INVERSIONES DE ADMINISTRACION DE LIQUIDEZ</w:t>
            </w:r>
            <w:r>
              <w:rPr>
                <w:noProof/>
                <w:webHidden/>
              </w:rPr>
              <w:tab/>
            </w:r>
            <w:r>
              <w:rPr>
                <w:noProof/>
                <w:webHidden/>
              </w:rPr>
              <w:fldChar w:fldCharType="begin"/>
            </w:r>
            <w:r>
              <w:rPr>
                <w:noProof/>
                <w:webHidden/>
              </w:rPr>
              <w:instrText xml:space="preserve"> PAGEREF _Toc525721357 \h </w:instrText>
            </w:r>
            <w:r>
              <w:rPr>
                <w:noProof/>
                <w:webHidden/>
              </w:rPr>
            </w:r>
            <w:r>
              <w:rPr>
                <w:noProof/>
                <w:webHidden/>
              </w:rPr>
              <w:fldChar w:fldCharType="separate"/>
            </w:r>
            <w:r>
              <w:rPr>
                <w:noProof/>
                <w:webHidden/>
              </w:rPr>
              <w:t>31</w:t>
            </w:r>
            <w:r>
              <w:rPr>
                <w:noProof/>
                <w:webHidden/>
              </w:rPr>
              <w:fldChar w:fldCharType="end"/>
            </w:r>
          </w:hyperlink>
        </w:p>
        <w:p w14:paraId="2FC7E8E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8" w:history="1">
            <w:r w:rsidRPr="00A62630">
              <w:rPr>
                <w:rStyle w:val="Hipervnculo"/>
                <w:rFonts w:cs="Arial"/>
                <w:noProof/>
              </w:rPr>
              <w:t>2.1. Objetivo</w:t>
            </w:r>
            <w:r>
              <w:rPr>
                <w:noProof/>
                <w:webHidden/>
              </w:rPr>
              <w:tab/>
            </w:r>
            <w:r>
              <w:rPr>
                <w:noProof/>
                <w:webHidden/>
              </w:rPr>
              <w:fldChar w:fldCharType="begin"/>
            </w:r>
            <w:r>
              <w:rPr>
                <w:noProof/>
                <w:webHidden/>
              </w:rPr>
              <w:instrText xml:space="preserve"> PAGEREF _Toc525721358 \h </w:instrText>
            </w:r>
            <w:r>
              <w:rPr>
                <w:noProof/>
                <w:webHidden/>
              </w:rPr>
            </w:r>
            <w:r>
              <w:rPr>
                <w:noProof/>
                <w:webHidden/>
              </w:rPr>
              <w:fldChar w:fldCharType="separate"/>
            </w:r>
            <w:r>
              <w:rPr>
                <w:noProof/>
                <w:webHidden/>
              </w:rPr>
              <w:t>31</w:t>
            </w:r>
            <w:r>
              <w:rPr>
                <w:noProof/>
                <w:webHidden/>
              </w:rPr>
              <w:fldChar w:fldCharType="end"/>
            </w:r>
          </w:hyperlink>
        </w:p>
        <w:p w14:paraId="233D993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59" w:history="1">
            <w:r w:rsidRPr="00A62630">
              <w:rPr>
                <w:rStyle w:val="Hipervnculo"/>
                <w:rFonts w:cs="Arial"/>
                <w:noProof/>
              </w:rPr>
              <w:t>2.2. Normatividad relacionada</w:t>
            </w:r>
            <w:r>
              <w:rPr>
                <w:noProof/>
                <w:webHidden/>
              </w:rPr>
              <w:tab/>
            </w:r>
            <w:r>
              <w:rPr>
                <w:noProof/>
                <w:webHidden/>
              </w:rPr>
              <w:fldChar w:fldCharType="begin"/>
            </w:r>
            <w:r>
              <w:rPr>
                <w:noProof/>
                <w:webHidden/>
              </w:rPr>
              <w:instrText xml:space="preserve"> PAGEREF _Toc525721359 \h </w:instrText>
            </w:r>
            <w:r>
              <w:rPr>
                <w:noProof/>
                <w:webHidden/>
              </w:rPr>
            </w:r>
            <w:r>
              <w:rPr>
                <w:noProof/>
                <w:webHidden/>
              </w:rPr>
              <w:fldChar w:fldCharType="separate"/>
            </w:r>
            <w:r>
              <w:rPr>
                <w:noProof/>
                <w:webHidden/>
              </w:rPr>
              <w:t>32</w:t>
            </w:r>
            <w:r>
              <w:rPr>
                <w:noProof/>
                <w:webHidden/>
              </w:rPr>
              <w:fldChar w:fldCharType="end"/>
            </w:r>
          </w:hyperlink>
        </w:p>
        <w:p w14:paraId="0D2BA38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0" w:history="1">
            <w:r w:rsidRPr="00A62630">
              <w:rPr>
                <w:rStyle w:val="Hipervnculo"/>
                <w:rFonts w:cs="Arial"/>
                <w:noProof/>
              </w:rPr>
              <w:t>2.3. Alcance</w:t>
            </w:r>
            <w:r>
              <w:rPr>
                <w:noProof/>
                <w:webHidden/>
              </w:rPr>
              <w:tab/>
            </w:r>
            <w:r>
              <w:rPr>
                <w:noProof/>
                <w:webHidden/>
              </w:rPr>
              <w:fldChar w:fldCharType="begin"/>
            </w:r>
            <w:r>
              <w:rPr>
                <w:noProof/>
                <w:webHidden/>
              </w:rPr>
              <w:instrText xml:space="preserve"> PAGEREF _Toc525721360 \h </w:instrText>
            </w:r>
            <w:r>
              <w:rPr>
                <w:noProof/>
                <w:webHidden/>
              </w:rPr>
            </w:r>
            <w:r>
              <w:rPr>
                <w:noProof/>
                <w:webHidden/>
              </w:rPr>
              <w:fldChar w:fldCharType="separate"/>
            </w:r>
            <w:r>
              <w:rPr>
                <w:noProof/>
                <w:webHidden/>
              </w:rPr>
              <w:t>32</w:t>
            </w:r>
            <w:r>
              <w:rPr>
                <w:noProof/>
                <w:webHidden/>
              </w:rPr>
              <w:fldChar w:fldCharType="end"/>
            </w:r>
          </w:hyperlink>
        </w:p>
        <w:p w14:paraId="5E2D55F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1" w:history="1">
            <w:r w:rsidRPr="00A62630">
              <w:rPr>
                <w:rStyle w:val="Hipervnculo"/>
                <w:rFonts w:cs="Arial"/>
                <w:noProof/>
              </w:rPr>
              <w:t>2.4. Política Contable General</w:t>
            </w:r>
            <w:r>
              <w:rPr>
                <w:noProof/>
                <w:webHidden/>
              </w:rPr>
              <w:tab/>
            </w:r>
            <w:r>
              <w:rPr>
                <w:noProof/>
                <w:webHidden/>
              </w:rPr>
              <w:fldChar w:fldCharType="begin"/>
            </w:r>
            <w:r>
              <w:rPr>
                <w:noProof/>
                <w:webHidden/>
              </w:rPr>
              <w:instrText xml:space="preserve"> PAGEREF _Toc525721361 \h </w:instrText>
            </w:r>
            <w:r>
              <w:rPr>
                <w:noProof/>
                <w:webHidden/>
              </w:rPr>
            </w:r>
            <w:r>
              <w:rPr>
                <w:noProof/>
                <w:webHidden/>
              </w:rPr>
              <w:fldChar w:fldCharType="separate"/>
            </w:r>
            <w:r>
              <w:rPr>
                <w:noProof/>
                <w:webHidden/>
              </w:rPr>
              <w:t>32</w:t>
            </w:r>
            <w:r>
              <w:rPr>
                <w:noProof/>
                <w:webHidden/>
              </w:rPr>
              <w:fldChar w:fldCharType="end"/>
            </w:r>
          </w:hyperlink>
        </w:p>
        <w:p w14:paraId="0C48FD5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2" w:history="1">
            <w:r w:rsidRPr="00A62630">
              <w:rPr>
                <w:rStyle w:val="Hipervnculo"/>
                <w:rFonts w:cs="Arial"/>
                <w:noProof/>
              </w:rPr>
              <w:t>2.5. Reconocimiento</w:t>
            </w:r>
            <w:r>
              <w:rPr>
                <w:noProof/>
                <w:webHidden/>
              </w:rPr>
              <w:tab/>
            </w:r>
            <w:r>
              <w:rPr>
                <w:noProof/>
                <w:webHidden/>
              </w:rPr>
              <w:fldChar w:fldCharType="begin"/>
            </w:r>
            <w:r>
              <w:rPr>
                <w:noProof/>
                <w:webHidden/>
              </w:rPr>
              <w:instrText xml:space="preserve"> PAGEREF _Toc525721362 \h </w:instrText>
            </w:r>
            <w:r>
              <w:rPr>
                <w:noProof/>
                <w:webHidden/>
              </w:rPr>
            </w:r>
            <w:r>
              <w:rPr>
                <w:noProof/>
                <w:webHidden/>
              </w:rPr>
              <w:fldChar w:fldCharType="separate"/>
            </w:r>
            <w:r>
              <w:rPr>
                <w:noProof/>
                <w:webHidden/>
              </w:rPr>
              <w:t>32</w:t>
            </w:r>
            <w:r>
              <w:rPr>
                <w:noProof/>
                <w:webHidden/>
              </w:rPr>
              <w:fldChar w:fldCharType="end"/>
            </w:r>
          </w:hyperlink>
        </w:p>
        <w:p w14:paraId="672AD28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3" w:history="1">
            <w:r w:rsidRPr="00A62630">
              <w:rPr>
                <w:rStyle w:val="Hipervnculo"/>
                <w:rFonts w:cs="Arial"/>
                <w:noProof/>
              </w:rPr>
              <w:t>2.6. Clasificación</w:t>
            </w:r>
            <w:r>
              <w:rPr>
                <w:noProof/>
                <w:webHidden/>
              </w:rPr>
              <w:tab/>
            </w:r>
            <w:r>
              <w:rPr>
                <w:noProof/>
                <w:webHidden/>
              </w:rPr>
              <w:fldChar w:fldCharType="begin"/>
            </w:r>
            <w:r>
              <w:rPr>
                <w:noProof/>
                <w:webHidden/>
              </w:rPr>
              <w:instrText xml:space="preserve"> PAGEREF _Toc525721363 \h </w:instrText>
            </w:r>
            <w:r>
              <w:rPr>
                <w:noProof/>
                <w:webHidden/>
              </w:rPr>
            </w:r>
            <w:r>
              <w:rPr>
                <w:noProof/>
                <w:webHidden/>
              </w:rPr>
              <w:fldChar w:fldCharType="separate"/>
            </w:r>
            <w:r>
              <w:rPr>
                <w:noProof/>
                <w:webHidden/>
              </w:rPr>
              <w:t>32</w:t>
            </w:r>
            <w:r>
              <w:rPr>
                <w:noProof/>
                <w:webHidden/>
              </w:rPr>
              <w:fldChar w:fldCharType="end"/>
            </w:r>
          </w:hyperlink>
        </w:p>
        <w:p w14:paraId="70DC926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4" w:history="1">
            <w:r w:rsidRPr="00A62630">
              <w:rPr>
                <w:rStyle w:val="Hipervnculo"/>
                <w:rFonts w:cs="Arial"/>
                <w:noProof/>
              </w:rPr>
              <w:t>2.7. Medición inicial</w:t>
            </w:r>
            <w:r>
              <w:rPr>
                <w:noProof/>
                <w:webHidden/>
              </w:rPr>
              <w:tab/>
            </w:r>
            <w:r>
              <w:rPr>
                <w:noProof/>
                <w:webHidden/>
              </w:rPr>
              <w:fldChar w:fldCharType="begin"/>
            </w:r>
            <w:r>
              <w:rPr>
                <w:noProof/>
                <w:webHidden/>
              </w:rPr>
              <w:instrText xml:space="preserve"> PAGEREF _Toc525721364 \h </w:instrText>
            </w:r>
            <w:r>
              <w:rPr>
                <w:noProof/>
                <w:webHidden/>
              </w:rPr>
            </w:r>
            <w:r>
              <w:rPr>
                <w:noProof/>
                <w:webHidden/>
              </w:rPr>
              <w:fldChar w:fldCharType="separate"/>
            </w:r>
            <w:r>
              <w:rPr>
                <w:noProof/>
                <w:webHidden/>
              </w:rPr>
              <w:t>32</w:t>
            </w:r>
            <w:r>
              <w:rPr>
                <w:noProof/>
                <w:webHidden/>
              </w:rPr>
              <w:fldChar w:fldCharType="end"/>
            </w:r>
          </w:hyperlink>
        </w:p>
        <w:p w14:paraId="58E8C30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5" w:history="1">
            <w:r w:rsidRPr="00A62630">
              <w:rPr>
                <w:rStyle w:val="Hipervnculo"/>
                <w:rFonts w:cs="Arial"/>
                <w:noProof/>
              </w:rPr>
              <w:t>2.8. Medición posterior</w:t>
            </w:r>
            <w:r>
              <w:rPr>
                <w:noProof/>
                <w:webHidden/>
              </w:rPr>
              <w:tab/>
            </w:r>
            <w:r>
              <w:rPr>
                <w:noProof/>
                <w:webHidden/>
              </w:rPr>
              <w:fldChar w:fldCharType="begin"/>
            </w:r>
            <w:r>
              <w:rPr>
                <w:noProof/>
                <w:webHidden/>
              </w:rPr>
              <w:instrText xml:space="preserve"> PAGEREF _Toc525721365 \h </w:instrText>
            </w:r>
            <w:r>
              <w:rPr>
                <w:noProof/>
                <w:webHidden/>
              </w:rPr>
            </w:r>
            <w:r>
              <w:rPr>
                <w:noProof/>
                <w:webHidden/>
              </w:rPr>
              <w:fldChar w:fldCharType="separate"/>
            </w:r>
            <w:r>
              <w:rPr>
                <w:noProof/>
                <w:webHidden/>
              </w:rPr>
              <w:t>33</w:t>
            </w:r>
            <w:r>
              <w:rPr>
                <w:noProof/>
                <w:webHidden/>
              </w:rPr>
              <w:fldChar w:fldCharType="end"/>
            </w:r>
          </w:hyperlink>
        </w:p>
        <w:p w14:paraId="748E75B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6" w:history="1">
            <w:r w:rsidRPr="00A62630">
              <w:rPr>
                <w:rStyle w:val="Hipervnculo"/>
                <w:rFonts w:cs="Arial"/>
                <w:noProof/>
              </w:rPr>
              <w:t>2.9. Gestión de riesgos</w:t>
            </w:r>
            <w:r>
              <w:rPr>
                <w:noProof/>
                <w:webHidden/>
              </w:rPr>
              <w:tab/>
            </w:r>
            <w:r>
              <w:rPr>
                <w:noProof/>
                <w:webHidden/>
              </w:rPr>
              <w:fldChar w:fldCharType="begin"/>
            </w:r>
            <w:r>
              <w:rPr>
                <w:noProof/>
                <w:webHidden/>
              </w:rPr>
              <w:instrText xml:space="preserve"> PAGEREF _Toc525721366 \h </w:instrText>
            </w:r>
            <w:r>
              <w:rPr>
                <w:noProof/>
                <w:webHidden/>
              </w:rPr>
            </w:r>
            <w:r>
              <w:rPr>
                <w:noProof/>
                <w:webHidden/>
              </w:rPr>
              <w:fldChar w:fldCharType="separate"/>
            </w:r>
            <w:r>
              <w:rPr>
                <w:noProof/>
                <w:webHidden/>
              </w:rPr>
              <w:t>34</w:t>
            </w:r>
            <w:r>
              <w:rPr>
                <w:noProof/>
                <w:webHidden/>
              </w:rPr>
              <w:fldChar w:fldCharType="end"/>
            </w:r>
          </w:hyperlink>
        </w:p>
        <w:p w14:paraId="184825E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7" w:history="1">
            <w:r w:rsidRPr="00A62630">
              <w:rPr>
                <w:rStyle w:val="Hipervnculo"/>
                <w:rFonts w:cs="Arial"/>
                <w:noProof/>
              </w:rPr>
              <w:t>2.10. Controles contables</w:t>
            </w:r>
            <w:r>
              <w:rPr>
                <w:noProof/>
                <w:webHidden/>
              </w:rPr>
              <w:tab/>
            </w:r>
            <w:r>
              <w:rPr>
                <w:noProof/>
                <w:webHidden/>
              </w:rPr>
              <w:fldChar w:fldCharType="begin"/>
            </w:r>
            <w:r>
              <w:rPr>
                <w:noProof/>
                <w:webHidden/>
              </w:rPr>
              <w:instrText xml:space="preserve"> PAGEREF _Toc525721367 \h </w:instrText>
            </w:r>
            <w:r>
              <w:rPr>
                <w:noProof/>
                <w:webHidden/>
              </w:rPr>
            </w:r>
            <w:r>
              <w:rPr>
                <w:noProof/>
                <w:webHidden/>
              </w:rPr>
              <w:fldChar w:fldCharType="separate"/>
            </w:r>
            <w:r>
              <w:rPr>
                <w:noProof/>
                <w:webHidden/>
              </w:rPr>
              <w:t>34</w:t>
            </w:r>
            <w:r>
              <w:rPr>
                <w:noProof/>
                <w:webHidden/>
              </w:rPr>
              <w:fldChar w:fldCharType="end"/>
            </w:r>
          </w:hyperlink>
        </w:p>
        <w:p w14:paraId="22E3297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8" w:history="1">
            <w:r w:rsidRPr="00A62630">
              <w:rPr>
                <w:rStyle w:val="Hipervnculo"/>
                <w:rFonts w:cs="Arial"/>
                <w:noProof/>
              </w:rPr>
              <w:t>2.11. Baja en cuentas</w:t>
            </w:r>
            <w:r>
              <w:rPr>
                <w:noProof/>
                <w:webHidden/>
              </w:rPr>
              <w:tab/>
            </w:r>
            <w:r>
              <w:rPr>
                <w:noProof/>
                <w:webHidden/>
              </w:rPr>
              <w:fldChar w:fldCharType="begin"/>
            </w:r>
            <w:r>
              <w:rPr>
                <w:noProof/>
                <w:webHidden/>
              </w:rPr>
              <w:instrText xml:space="preserve"> PAGEREF _Toc525721368 \h </w:instrText>
            </w:r>
            <w:r>
              <w:rPr>
                <w:noProof/>
                <w:webHidden/>
              </w:rPr>
            </w:r>
            <w:r>
              <w:rPr>
                <w:noProof/>
                <w:webHidden/>
              </w:rPr>
              <w:fldChar w:fldCharType="separate"/>
            </w:r>
            <w:r>
              <w:rPr>
                <w:noProof/>
                <w:webHidden/>
              </w:rPr>
              <w:t>35</w:t>
            </w:r>
            <w:r>
              <w:rPr>
                <w:noProof/>
                <w:webHidden/>
              </w:rPr>
              <w:fldChar w:fldCharType="end"/>
            </w:r>
          </w:hyperlink>
        </w:p>
        <w:p w14:paraId="7FBBBC6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69" w:history="1">
            <w:r w:rsidRPr="00A62630">
              <w:rPr>
                <w:rStyle w:val="Hipervnculo"/>
                <w:rFonts w:cs="Arial"/>
                <w:noProof/>
              </w:rPr>
              <w:t>2.12. Revelaciones</w:t>
            </w:r>
            <w:r>
              <w:rPr>
                <w:noProof/>
                <w:webHidden/>
              </w:rPr>
              <w:tab/>
            </w:r>
            <w:r>
              <w:rPr>
                <w:noProof/>
                <w:webHidden/>
              </w:rPr>
              <w:fldChar w:fldCharType="begin"/>
            </w:r>
            <w:r>
              <w:rPr>
                <w:noProof/>
                <w:webHidden/>
              </w:rPr>
              <w:instrText xml:space="preserve"> PAGEREF _Toc525721369 \h </w:instrText>
            </w:r>
            <w:r>
              <w:rPr>
                <w:noProof/>
                <w:webHidden/>
              </w:rPr>
            </w:r>
            <w:r>
              <w:rPr>
                <w:noProof/>
                <w:webHidden/>
              </w:rPr>
              <w:fldChar w:fldCharType="separate"/>
            </w:r>
            <w:r>
              <w:rPr>
                <w:noProof/>
                <w:webHidden/>
              </w:rPr>
              <w:t>35</w:t>
            </w:r>
            <w:r>
              <w:rPr>
                <w:noProof/>
                <w:webHidden/>
              </w:rPr>
              <w:fldChar w:fldCharType="end"/>
            </w:r>
          </w:hyperlink>
        </w:p>
        <w:p w14:paraId="6037E8B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0" w:history="1">
            <w:r w:rsidRPr="00A62630">
              <w:rPr>
                <w:rStyle w:val="Hipervnculo"/>
                <w:rFonts w:cs="Arial"/>
                <w:noProof/>
              </w:rPr>
              <w:t>3. INVENTARIOS</w:t>
            </w:r>
            <w:r>
              <w:rPr>
                <w:noProof/>
                <w:webHidden/>
              </w:rPr>
              <w:tab/>
            </w:r>
            <w:r>
              <w:rPr>
                <w:noProof/>
                <w:webHidden/>
              </w:rPr>
              <w:fldChar w:fldCharType="begin"/>
            </w:r>
            <w:r>
              <w:rPr>
                <w:noProof/>
                <w:webHidden/>
              </w:rPr>
              <w:instrText xml:space="preserve"> PAGEREF _Toc525721370 \h </w:instrText>
            </w:r>
            <w:r>
              <w:rPr>
                <w:noProof/>
                <w:webHidden/>
              </w:rPr>
            </w:r>
            <w:r>
              <w:rPr>
                <w:noProof/>
                <w:webHidden/>
              </w:rPr>
              <w:fldChar w:fldCharType="separate"/>
            </w:r>
            <w:r>
              <w:rPr>
                <w:noProof/>
                <w:webHidden/>
              </w:rPr>
              <w:t>36</w:t>
            </w:r>
            <w:r>
              <w:rPr>
                <w:noProof/>
                <w:webHidden/>
              </w:rPr>
              <w:fldChar w:fldCharType="end"/>
            </w:r>
          </w:hyperlink>
        </w:p>
        <w:p w14:paraId="5BE806A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1" w:history="1">
            <w:r w:rsidRPr="00A62630">
              <w:rPr>
                <w:rStyle w:val="Hipervnculo"/>
                <w:rFonts w:cs="Arial"/>
                <w:noProof/>
              </w:rPr>
              <w:t>3.1. Objetivo</w:t>
            </w:r>
            <w:r>
              <w:rPr>
                <w:noProof/>
                <w:webHidden/>
              </w:rPr>
              <w:tab/>
            </w:r>
            <w:r>
              <w:rPr>
                <w:noProof/>
                <w:webHidden/>
              </w:rPr>
              <w:fldChar w:fldCharType="begin"/>
            </w:r>
            <w:r>
              <w:rPr>
                <w:noProof/>
                <w:webHidden/>
              </w:rPr>
              <w:instrText xml:space="preserve"> PAGEREF _Toc525721371 \h </w:instrText>
            </w:r>
            <w:r>
              <w:rPr>
                <w:noProof/>
                <w:webHidden/>
              </w:rPr>
            </w:r>
            <w:r>
              <w:rPr>
                <w:noProof/>
                <w:webHidden/>
              </w:rPr>
              <w:fldChar w:fldCharType="separate"/>
            </w:r>
            <w:r>
              <w:rPr>
                <w:noProof/>
                <w:webHidden/>
              </w:rPr>
              <w:t>36</w:t>
            </w:r>
            <w:r>
              <w:rPr>
                <w:noProof/>
                <w:webHidden/>
              </w:rPr>
              <w:fldChar w:fldCharType="end"/>
            </w:r>
          </w:hyperlink>
        </w:p>
        <w:p w14:paraId="6F5421C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2" w:history="1">
            <w:r w:rsidRPr="00A62630">
              <w:rPr>
                <w:rStyle w:val="Hipervnculo"/>
                <w:rFonts w:cs="Arial"/>
                <w:noProof/>
              </w:rPr>
              <w:t>3.2. Normatividad relacionada</w:t>
            </w:r>
            <w:r>
              <w:rPr>
                <w:noProof/>
                <w:webHidden/>
              </w:rPr>
              <w:tab/>
            </w:r>
            <w:r>
              <w:rPr>
                <w:noProof/>
                <w:webHidden/>
              </w:rPr>
              <w:fldChar w:fldCharType="begin"/>
            </w:r>
            <w:r>
              <w:rPr>
                <w:noProof/>
                <w:webHidden/>
              </w:rPr>
              <w:instrText xml:space="preserve"> PAGEREF _Toc525721372 \h </w:instrText>
            </w:r>
            <w:r>
              <w:rPr>
                <w:noProof/>
                <w:webHidden/>
              </w:rPr>
            </w:r>
            <w:r>
              <w:rPr>
                <w:noProof/>
                <w:webHidden/>
              </w:rPr>
              <w:fldChar w:fldCharType="separate"/>
            </w:r>
            <w:r>
              <w:rPr>
                <w:noProof/>
                <w:webHidden/>
              </w:rPr>
              <w:t>36</w:t>
            </w:r>
            <w:r>
              <w:rPr>
                <w:noProof/>
                <w:webHidden/>
              </w:rPr>
              <w:fldChar w:fldCharType="end"/>
            </w:r>
          </w:hyperlink>
        </w:p>
        <w:p w14:paraId="09A021A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3" w:history="1">
            <w:r w:rsidRPr="00A62630">
              <w:rPr>
                <w:rStyle w:val="Hipervnculo"/>
                <w:rFonts w:cs="Arial"/>
                <w:noProof/>
              </w:rPr>
              <w:t>3.3. Alcance</w:t>
            </w:r>
            <w:r>
              <w:rPr>
                <w:noProof/>
                <w:webHidden/>
              </w:rPr>
              <w:tab/>
            </w:r>
            <w:r>
              <w:rPr>
                <w:noProof/>
                <w:webHidden/>
              </w:rPr>
              <w:fldChar w:fldCharType="begin"/>
            </w:r>
            <w:r>
              <w:rPr>
                <w:noProof/>
                <w:webHidden/>
              </w:rPr>
              <w:instrText xml:space="preserve"> PAGEREF _Toc525721373 \h </w:instrText>
            </w:r>
            <w:r>
              <w:rPr>
                <w:noProof/>
                <w:webHidden/>
              </w:rPr>
            </w:r>
            <w:r>
              <w:rPr>
                <w:noProof/>
                <w:webHidden/>
              </w:rPr>
              <w:fldChar w:fldCharType="separate"/>
            </w:r>
            <w:r>
              <w:rPr>
                <w:noProof/>
                <w:webHidden/>
              </w:rPr>
              <w:t>36</w:t>
            </w:r>
            <w:r>
              <w:rPr>
                <w:noProof/>
                <w:webHidden/>
              </w:rPr>
              <w:fldChar w:fldCharType="end"/>
            </w:r>
          </w:hyperlink>
        </w:p>
        <w:p w14:paraId="5F3838E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4" w:history="1">
            <w:r w:rsidRPr="00A62630">
              <w:rPr>
                <w:rStyle w:val="Hipervnculo"/>
                <w:rFonts w:cs="Arial"/>
                <w:noProof/>
              </w:rPr>
              <w:t>3.4. Política Contable General</w:t>
            </w:r>
            <w:r>
              <w:rPr>
                <w:noProof/>
                <w:webHidden/>
              </w:rPr>
              <w:tab/>
            </w:r>
            <w:r>
              <w:rPr>
                <w:noProof/>
                <w:webHidden/>
              </w:rPr>
              <w:fldChar w:fldCharType="begin"/>
            </w:r>
            <w:r>
              <w:rPr>
                <w:noProof/>
                <w:webHidden/>
              </w:rPr>
              <w:instrText xml:space="preserve"> PAGEREF _Toc525721374 \h </w:instrText>
            </w:r>
            <w:r>
              <w:rPr>
                <w:noProof/>
                <w:webHidden/>
              </w:rPr>
            </w:r>
            <w:r>
              <w:rPr>
                <w:noProof/>
                <w:webHidden/>
              </w:rPr>
              <w:fldChar w:fldCharType="separate"/>
            </w:r>
            <w:r>
              <w:rPr>
                <w:noProof/>
                <w:webHidden/>
              </w:rPr>
              <w:t>36</w:t>
            </w:r>
            <w:r>
              <w:rPr>
                <w:noProof/>
                <w:webHidden/>
              </w:rPr>
              <w:fldChar w:fldCharType="end"/>
            </w:r>
          </w:hyperlink>
        </w:p>
        <w:p w14:paraId="0AEC782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5" w:history="1">
            <w:r w:rsidRPr="00A62630">
              <w:rPr>
                <w:rStyle w:val="Hipervnculo"/>
                <w:rFonts w:cs="Arial"/>
                <w:noProof/>
                <w:lang w:eastAsia="es-CO"/>
              </w:rPr>
              <w:t>3.5. Reconocimiento</w:t>
            </w:r>
            <w:r>
              <w:rPr>
                <w:noProof/>
                <w:webHidden/>
              </w:rPr>
              <w:tab/>
            </w:r>
            <w:r>
              <w:rPr>
                <w:noProof/>
                <w:webHidden/>
              </w:rPr>
              <w:fldChar w:fldCharType="begin"/>
            </w:r>
            <w:r>
              <w:rPr>
                <w:noProof/>
                <w:webHidden/>
              </w:rPr>
              <w:instrText xml:space="preserve"> PAGEREF _Toc525721375 \h </w:instrText>
            </w:r>
            <w:r>
              <w:rPr>
                <w:noProof/>
                <w:webHidden/>
              </w:rPr>
            </w:r>
            <w:r>
              <w:rPr>
                <w:noProof/>
                <w:webHidden/>
              </w:rPr>
              <w:fldChar w:fldCharType="separate"/>
            </w:r>
            <w:r>
              <w:rPr>
                <w:noProof/>
                <w:webHidden/>
              </w:rPr>
              <w:t>36</w:t>
            </w:r>
            <w:r>
              <w:rPr>
                <w:noProof/>
                <w:webHidden/>
              </w:rPr>
              <w:fldChar w:fldCharType="end"/>
            </w:r>
          </w:hyperlink>
        </w:p>
        <w:p w14:paraId="2CC9148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6" w:history="1">
            <w:r w:rsidRPr="00A62630">
              <w:rPr>
                <w:rStyle w:val="Hipervnculo"/>
                <w:rFonts w:cs="Arial"/>
                <w:noProof/>
              </w:rPr>
              <w:t>3.6. Medición inicial</w:t>
            </w:r>
            <w:r>
              <w:rPr>
                <w:noProof/>
                <w:webHidden/>
              </w:rPr>
              <w:tab/>
            </w:r>
            <w:r>
              <w:rPr>
                <w:noProof/>
                <w:webHidden/>
              </w:rPr>
              <w:fldChar w:fldCharType="begin"/>
            </w:r>
            <w:r>
              <w:rPr>
                <w:noProof/>
                <w:webHidden/>
              </w:rPr>
              <w:instrText xml:space="preserve"> PAGEREF _Toc525721376 \h </w:instrText>
            </w:r>
            <w:r>
              <w:rPr>
                <w:noProof/>
                <w:webHidden/>
              </w:rPr>
            </w:r>
            <w:r>
              <w:rPr>
                <w:noProof/>
                <w:webHidden/>
              </w:rPr>
              <w:fldChar w:fldCharType="separate"/>
            </w:r>
            <w:r>
              <w:rPr>
                <w:noProof/>
                <w:webHidden/>
              </w:rPr>
              <w:t>37</w:t>
            </w:r>
            <w:r>
              <w:rPr>
                <w:noProof/>
                <w:webHidden/>
              </w:rPr>
              <w:fldChar w:fldCharType="end"/>
            </w:r>
          </w:hyperlink>
        </w:p>
        <w:p w14:paraId="3926568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7" w:history="1">
            <w:r w:rsidRPr="00A62630">
              <w:rPr>
                <w:rStyle w:val="Hipervnculo"/>
                <w:rFonts w:cs="Arial"/>
                <w:noProof/>
              </w:rPr>
              <w:t>3.7. Medición posterior</w:t>
            </w:r>
            <w:r>
              <w:rPr>
                <w:noProof/>
                <w:webHidden/>
              </w:rPr>
              <w:tab/>
            </w:r>
            <w:r>
              <w:rPr>
                <w:noProof/>
                <w:webHidden/>
              </w:rPr>
              <w:fldChar w:fldCharType="begin"/>
            </w:r>
            <w:r>
              <w:rPr>
                <w:noProof/>
                <w:webHidden/>
              </w:rPr>
              <w:instrText xml:space="preserve"> PAGEREF _Toc525721377 \h </w:instrText>
            </w:r>
            <w:r>
              <w:rPr>
                <w:noProof/>
                <w:webHidden/>
              </w:rPr>
            </w:r>
            <w:r>
              <w:rPr>
                <w:noProof/>
                <w:webHidden/>
              </w:rPr>
              <w:fldChar w:fldCharType="separate"/>
            </w:r>
            <w:r>
              <w:rPr>
                <w:noProof/>
                <w:webHidden/>
              </w:rPr>
              <w:t>37</w:t>
            </w:r>
            <w:r>
              <w:rPr>
                <w:noProof/>
                <w:webHidden/>
              </w:rPr>
              <w:fldChar w:fldCharType="end"/>
            </w:r>
          </w:hyperlink>
        </w:p>
        <w:p w14:paraId="0ED1D20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8" w:history="1">
            <w:r w:rsidRPr="00A62630">
              <w:rPr>
                <w:rStyle w:val="Hipervnculo"/>
                <w:rFonts w:cs="Arial"/>
                <w:noProof/>
              </w:rPr>
              <w:t>3.8. Gestión de riesgo</w:t>
            </w:r>
            <w:r>
              <w:rPr>
                <w:noProof/>
                <w:webHidden/>
              </w:rPr>
              <w:tab/>
            </w:r>
            <w:r>
              <w:rPr>
                <w:noProof/>
                <w:webHidden/>
              </w:rPr>
              <w:fldChar w:fldCharType="begin"/>
            </w:r>
            <w:r>
              <w:rPr>
                <w:noProof/>
                <w:webHidden/>
              </w:rPr>
              <w:instrText xml:space="preserve"> PAGEREF _Toc525721378 \h </w:instrText>
            </w:r>
            <w:r>
              <w:rPr>
                <w:noProof/>
                <w:webHidden/>
              </w:rPr>
            </w:r>
            <w:r>
              <w:rPr>
                <w:noProof/>
                <w:webHidden/>
              </w:rPr>
              <w:fldChar w:fldCharType="separate"/>
            </w:r>
            <w:r>
              <w:rPr>
                <w:noProof/>
                <w:webHidden/>
              </w:rPr>
              <w:t>37</w:t>
            </w:r>
            <w:r>
              <w:rPr>
                <w:noProof/>
                <w:webHidden/>
              </w:rPr>
              <w:fldChar w:fldCharType="end"/>
            </w:r>
          </w:hyperlink>
        </w:p>
        <w:p w14:paraId="2272583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79" w:history="1">
            <w:r w:rsidRPr="00A62630">
              <w:rPr>
                <w:rStyle w:val="Hipervnculo"/>
                <w:rFonts w:cs="Arial"/>
                <w:noProof/>
              </w:rPr>
              <w:t>3.9. Controles contables</w:t>
            </w:r>
            <w:r>
              <w:rPr>
                <w:noProof/>
                <w:webHidden/>
              </w:rPr>
              <w:tab/>
            </w:r>
            <w:r>
              <w:rPr>
                <w:noProof/>
                <w:webHidden/>
              </w:rPr>
              <w:fldChar w:fldCharType="begin"/>
            </w:r>
            <w:r>
              <w:rPr>
                <w:noProof/>
                <w:webHidden/>
              </w:rPr>
              <w:instrText xml:space="preserve"> PAGEREF _Toc525721379 \h </w:instrText>
            </w:r>
            <w:r>
              <w:rPr>
                <w:noProof/>
                <w:webHidden/>
              </w:rPr>
            </w:r>
            <w:r>
              <w:rPr>
                <w:noProof/>
                <w:webHidden/>
              </w:rPr>
              <w:fldChar w:fldCharType="separate"/>
            </w:r>
            <w:r>
              <w:rPr>
                <w:noProof/>
                <w:webHidden/>
              </w:rPr>
              <w:t>37</w:t>
            </w:r>
            <w:r>
              <w:rPr>
                <w:noProof/>
                <w:webHidden/>
              </w:rPr>
              <w:fldChar w:fldCharType="end"/>
            </w:r>
          </w:hyperlink>
        </w:p>
        <w:p w14:paraId="17AF066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0" w:history="1">
            <w:r w:rsidRPr="00A62630">
              <w:rPr>
                <w:rStyle w:val="Hipervnculo"/>
                <w:rFonts w:cs="Arial"/>
                <w:noProof/>
              </w:rPr>
              <w:t>3.10. Baja en cuentas</w:t>
            </w:r>
            <w:r>
              <w:rPr>
                <w:noProof/>
                <w:webHidden/>
              </w:rPr>
              <w:tab/>
            </w:r>
            <w:r>
              <w:rPr>
                <w:noProof/>
                <w:webHidden/>
              </w:rPr>
              <w:fldChar w:fldCharType="begin"/>
            </w:r>
            <w:r>
              <w:rPr>
                <w:noProof/>
                <w:webHidden/>
              </w:rPr>
              <w:instrText xml:space="preserve"> PAGEREF _Toc525721380 \h </w:instrText>
            </w:r>
            <w:r>
              <w:rPr>
                <w:noProof/>
                <w:webHidden/>
              </w:rPr>
            </w:r>
            <w:r>
              <w:rPr>
                <w:noProof/>
                <w:webHidden/>
              </w:rPr>
              <w:fldChar w:fldCharType="separate"/>
            </w:r>
            <w:r>
              <w:rPr>
                <w:noProof/>
                <w:webHidden/>
              </w:rPr>
              <w:t>37</w:t>
            </w:r>
            <w:r>
              <w:rPr>
                <w:noProof/>
                <w:webHidden/>
              </w:rPr>
              <w:fldChar w:fldCharType="end"/>
            </w:r>
          </w:hyperlink>
        </w:p>
        <w:p w14:paraId="30948D4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1" w:history="1">
            <w:r w:rsidRPr="00A62630">
              <w:rPr>
                <w:rStyle w:val="Hipervnculo"/>
                <w:rFonts w:cs="Arial"/>
                <w:noProof/>
              </w:rPr>
              <w:t>3.11. Revelaciones</w:t>
            </w:r>
            <w:r>
              <w:rPr>
                <w:noProof/>
                <w:webHidden/>
              </w:rPr>
              <w:tab/>
            </w:r>
            <w:r>
              <w:rPr>
                <w:noProof/>
                <w:webHidden/>
              </w:rPr>
              <w:fldChar w:fldCharType="begin"/>
            </w:r>
            <w:r>
              <w:rPr>
                <w:noProof/>
                <w:webHidden/>
              </w:rPr>
              <w:instrText xml:space="preserve"> PAGEREF _Toc525721381 \h </w:instrText>
            </w:r>
            <w:r>
              <w:rPr>
                <w:noProof/>
                <w:webHidden/>
              </w:rPr>
            </w:r>
            <w:r>
              <w:rPr>
                <w:noProof/>
                <w:webHidden/>
              </w:rPr>
              <w:fldChar w:fldCharType="separate"/>
            </w:r>
            <w:r>
              <w:rPr>
                <w:noProof/>
                <w:webHidden/>
              </w:rPr>
              <w:t>38</w:t>
            </w:r>
            <w:r>
              <w:rPr>
                <w:noProof/>
                <w:webHidden/>
              </w:rPr>
              <w:fldChar w:fldCharType="end"/>
            </w:r>
          </w:hyperlink>
        </w:p>
        <w:p w14:paraId="4DFBE48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2" w:history="1">
            <w:r w:rsidRPr="00A62630">
              <w:rPr>
                <w:rStyle w:val="Hipervnculo"/>
                <w:rFonts w:cs="Arial"/>
                <w:noProof/>
              </w:rPr>
              <w:t>4. POLÍTICA DE CUENTAS POR COBRAR</w:t>
            </w:r>
            <w:r>
              <w:rPr>
                <w:noProof/>
                <w:webHidden/>
              </w:rPr>
              <w:tab/>
            </w:r>
            <w:r>
              <w:rPr>
                <w:noProof/>
                <w:webHidden/>
              </w:rPr>
              <w:fldChar w:fldCharType="begin"/>
            </w:r>
            <w:r>
              <w:rPr>
                <w:noProof/>
                <w:webHidden/>
              </w:rPr>
              <w:instrText xml:space="preserve"> PAGEREF _Toc525721382 \h </w:instrText>
            </w:r>
            <w:r>
              <w:rPr>
                <w:noProof/>
                <w:webHidden/>
              </w:rPr>
            </w:r>
            <w:r>
              <w:rPr>
                <w:noProof/>
                <w:webHidden/>
              </w:rPr>
              <w:fldChar w:fldCharType="separate"/>
            </w:r>
            <w:r>
              <w:rPr>
                <w:noProof/>
                <w:webHidden/>
              </w:rPr>
              <w:t>38</w:t>
            </w:r>
            <w:r>
              <w:rPr>
                <w:noProof/>
                <w:webHidden/>
              </w:rPr>
              <w:fldChar w:fldCharType="end"/>
            </w:r>
          </w:hyperlink>
        </w:p>
        <w:p w14:paraId="537B212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3" w:history="1">
            <w:r w:rsidRPr="00A62630">
              <w:rPr>
                <w:rStyle w:val="Hipervnculo"/>
                <w:rFonts w:cs="Arial"/>
                <w:noProof/>
              </w:rPr>
              <w:t>4.1. Objetivo</w:t>
            </w:r>
            <w:r>
              <w:rPr>
                <w:noProof/>
                <w:webHidden/>
              </w:rPr>
              <w:tab/>
            </w:r>
            <w:r>
              <w:rPr>
                <w:noProof/>
                <w:webHidden/>
              </w:rPr>
              <w:fldChar w:fldCharType="begin"/>
            </w:r>
            <w:r>
              <w:rPr>
                <w:noProof/>
                <w:webHidden/>
              </w:rPr>
              <w:instrText xml:space="preserve"> PAGEREF _Toc525721383 \h </w:instrText>
            </w:r>
            <w:r>
              <w:rPr>
                <w:noProof/>
                <w:webHidden/>
              </w:rPr>
            </w:r>
            <w:r>
              <w:rPr>
                <w:noProof/>
                <w:webHidden/>
              </w:rPr>
              <w:fldChar w:fldCharType="separate"/>
            </w:r>
            <w:r>
              <w:rPr>
                <w:noProof/>
                <w:webHidden/>
              </w:rPr>
              <w:t>38</w:t>
            </w:r>
            <w:r>
              <w:rPr>
                <w:noProof/>
                <w:webHidden/>
              </w:rPr>
              <w:fldChar w:fldCharType="end"/>
            </w:r>
          </w:hyperlink>
        </w:p>
        <w:p w14:paraId="35B3B6A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4" w:history="1">
            <w:r w:rsidRPr="00A62630">
              <w:rPr>
                <w:rStyle w:val="Hipervnculo"/>
                <w:rFonts w:cs="Arial"/>
                <w:noProof/>
              </w:rPr>
              <w:t>4.2. Normatividad relacionada</w:t>
            </w:r>
            <w:r>
              <w:rPr>
                <w:noProof/>
                <w:webHidden/>
              </w:rPr>
              <w:tab/>
            </w:r>
            <w:r>
              <w:rPr>
                <w:noProof/>
                <w:webHidden/>
              </w:rPr>
              <w:fldChar w:fldCharType="begin"/>
            </w:r>
            <w:r>
              <w:rPr>
                <w:noProof/>
                <w:webHidden/>
              </w:rPr>
              <w:instrText xml:space="preserve"> PAGEREF _Toc525721384 \h </w:instrText>
            </w:r>
            <w:r>
              <w:rPr>
                <w:noProof/>
                <w:webHidden/>
              </w:rPr>
            </w:r>
            <w:r>
              <w:rPr>
                <w:noProof/>
                <w:webHidden/>
              </w:rPr>
              <w:fldChar w:fldCharType="separate"/>
            </w:r>
            <w:r>
              <w:rPr>
                <w:noProof/>
                <w:webHidden/>
              </w:rPr>
              <w:t>38</w:t>
            </w:r>
            <w:r>
              <w:rPr>
                <w:noProof/>
                <w:webHidden/>
              </w:rPr>
              <w:fldChar w:fldCharType="end"/>
            </w:r>
          </w:hyperlink>
        </w:p>
        <w:p w14:paraId="4A72E43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5" w:history="1">
            <w:r w:rsidRPr="00A62630">
              <w:rPr>
                <w:rStyle w:val="Hipervnculo"/>
                <w:rFonts w:cs="Arial"/>
                <w:noProof/>
              </w:rPr>
              <w:t>4.3. Alcance</w:t>
            </w:r>
            <w:r>
              <w:rPr>
                <w:noProof/>
                <w:webHidden/>
              </w:rPr>
              <w:tab/>
            </w:r>
            <w:r>
              <w:rPr>
                <w:noProof/>
                <w:webHidden/>
              </w:rPr>
              <w:fldChar w:fldCharType="begin"/>
            </w:r>
            <w:r>
              <w:rPr>
                <w:noProof/>
                <w:webHidden/>
              </w:rPr>
              <w:instrText xml:space="preserve"> PAGEREF _Toc525721385 \h </w:instrText>
            </w:r>
            <w:r>
              <w:rPr>
                <w:noProof/>
                <w:webHidden/>
              </w:rPr>
            </w:r>
            <w:r>
              <w:rPr>
                <w:noProof/>
                <w:webHidden/>
              </w:rPr>
              <w:fldChar w:fldCharType="separate"/>
            </w:r>
            <w:r>
              <w:rPr>
                <w:noProof/>
                <w:webHidden/>
              </w:rPr>
              <w:t>38</w:t>
            </w:r>
            <w:r>
              <w:rPr>
                <w:noProof/>
                <w:webHidden/>
              </w:rPr>
              <w:fldChar w:fldCharType="end"/>
            </w:r>
          </w:hyperlink>
        </w:p>
        <w:p w14:paraId="34A9A04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6" w:history="1">
            <w:r w:rsidRPr="00A62630">
              <w:rPr>
                <w:rStyle w:val="Hipervnculo"/>
                <w:rFonts w:cs="Arial"/>
                <w:noProof/>
              </w:rPr>
              <w:t>4.4. Política Contable General</w:t>
            </w:r>
            <w:r>
              <w:rPr>
                <w:noProof/>
                <w:webHidden/>
              </w:rPr>
              <w:tab/>
            </w:r>
            <w:r>
              <w:rPr>
                <w:noProof/>
                <w:webHidden/>
              </w:rPr>
              <w:fldChar w:fldCharType="begin"/>
            </w:r>
            <w:r>
              <w:rPr>
                <w:noProof/>
                <w:webHidden/>
              </w:rPr>
              <w:instrText xml:space="preserve"> PAGEREF _Toc525721386 \h </w:instrText>
            </w:r>
            <w:r>
              <w:rPr>
                <w:noProof/>
                <w:webHidden/>
              </w:rPr>
            </w:r>
            <w:r>
              <w:rPr>
                <w:noProof/>
                <w:webHidden/>
              </w:rPr>
              <w:fldChar w:fldCharType="separate"/>
            </w:r>
            <w:r>
              <w:rPr>
                <w:noProof/>
                <w:webHidden/>
              </w:rPr>
              <w:t>38</w:t>
            </w:r>
            <w:r>
              <w:rPr>
                <w:noProof/>
                <w:webHidden/>
              </w:rPr>
              <w:fldChar w:fldCharType="end"/>
            </w:r>
          </w:hyperlink>
        </w:p>
        <w:p w14:paraId="6A772B5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7" w:history="1">
            <w:r w:rsidRPr="00A62630">
              <w:rPr>
                <w:rStyle w:val="Hipervnculo"/>
                <w:rFonts w:cs="Arial"/>
                <w:noProof/>
                <w:lang w:eastAsia="es-CO"/>
              </w:rPr>
              <w:t>4.5. Reconocimiento</w:t>
            </w:r>
            <w:r>
              <w:rPr>
                <w:noProof/>
                <w:webHidden/>
              </w:rPr>
              <w:tab/>
            </w:r>
            <w:r>
              <w:rPr>
                <w:noProof/>
                <w:webHidden/>
              </w:rPr>
              <w:fldChar w:fldCharType="begin"/>
            </w:r>
            <w:r>
              <w:rPr>
                <w:noProof/>
                <w:webHidden/>
              </w:rPr>
              <w:instrText xml:space="preserve"> PAGEREF _Toc525721387 \h </w:instrText>
            </w:r>
            <w:r>
              <w:rPr>
                <w:noProof/>
                <w:webHidden/>
              </w:rPr>
            </w:r>
            <w:r>
              <w:rPr>
                <w:noProof/>
                <w:webHidden/>
              </w:rPr>
              <w:fldChar w:fldCharType="separate"/>
            </w:r>
            <w:r>
              <w:rPr>
                <w:noProof/>
                <w:webHidden/>
              </w:rPr>
              <w:t>39</w:t>
            </w:r>
            <w:r>
              <w:rPr>
                <w:noProof/>
                <w:webHidden/>
              </w:rPr>
              <w:fldChar w:fldCharType="end"/>
            </w:r>
          </w:hyperlink>
        </w:p>
        <w:p w14:paraId="78C5CCF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8" w:history="1">
            <w:r w:rsidRPr="00A62630">
              <w:rPr>
                <w:rStyle w:val="Hipervnculo"/>
                <w:rFonts w:cs="Arial"/>
                <w:noProof/>
                <w:lang w:eastAsia="es-CO"/>
              </w:rPr>
              <w:t>4.6. Clasificación</w:t>
            </w:r>
            <w:r>
              <w:rPr>
                <w:noProof/>
                <w:webHidden/>
              </w:rPr>
              <w:tab/>
            </w:r>
            <w:r>
              <w:rPr>
                <w:noProof/>
                <w:webHidden/>
              </w:rPr>
              <w:fldChar w:fldCharType="begin"/>
            </w:r>
            <w:r>
              <w:rPr>
                <w:noProof/>
                <w:webHidden/>
              </w:rPr>
              <w:instrText xml:space="preserve"> PAGEREF _Toc525721388 \h </w:instrText>
            </w:r>
            <w:r>
              <w:rPr>
                <w:noProof/>
                <w:webHidden/>
              </w:rPr>
            </w:r>
            <w:r>
              <w:rPr>
                <w:noProof/>
                <w:webHidden/>
              </w:rPr>
              <w:fldChar w:fldCharType="separate"/>
            </w:r>
            <w:r>
              <w:rPr>
                <w:noProof/>
                <w:webHidden/>
              </w:rPr>
              <w:t>39</w:t>
            </w:r>
            <w:r>
              <w:rPr>
                <w:noProof/>
                <w:webHidden/>
              </w:rPr>
              <w:fldChar w:fldCharType="end"/>
            </w:r>
          </w:hyperlink>
        </w:p>
        <w:p w14:paraId="57551A5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89" w:history="1">
            <w:r w:rsidRPr="00A62630">
              <w:rPr>
                <w:rStyle w:val="Hipervnculo"/>
                <w:rFonts w:cs="Arial"/>
                <w:noProof/>
                <w:lang w:eastAsia="es-CO"/>
              </w:rPr>
              <w:t>4.7. Medición inicial</w:t>
            </w:r>
            <w:r>
              <w:rPr>
                <w:noProof/>
                <w:webHidden/>
              </w:rPr>
              <w:tab/>
            </w:r>
            <w:r>
              <w:rPr>
                <w:noProof/>
                <w:webHidden/>
              </w:rPr>
              <w:fldChar w:fldCharType="begin"/>
            </w:r>
            <w:r>
              <w:rPr>
                <w:noProof/>
                <w:webHidden/>
              </w:rPr>
              <w:instrText xml:space="preserve"> PAGEREF _Toc525721389 \h </w:instrText>
            </w:r>
            <w:r>
              <w:rPr>
                <w:noProof/>
                <w:webHidden/>
              </w:rPr>
            </w:r>
            <w:r>
              <w:rPr>
                <w:noProof/>
                <w:webHidden/>
              </w:rPr>
              <w:fldChar w:fldCharType="separate"/>
            </w:r>
            <w:r>
              <w:rPr>
                <w:noProof/>
                <w:webHidden/>
              </w:rPr>
              <w:t>39</w:t>
            </w:r>
            <w:r>
              <w:rPr>
                <w:noProof/>
                <w:webHidden/>
              </w:rPr>
              <w:fldChar w:fldCharType="end"/>
            </w:r>
          </w:hyperlink>
        </w:p>
        <w:p w14:paraId="76DF4F3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0" w:history="1">
            <w:r w:rsidRPr="00A62630">
              <w:rPr>
                <w:rStyle w:val="Hipervnculo"/>
                <w:rFonts w:cs="Arial"/>
                <w:noProof/>
                <w:lang w:eastAsia="es-CO"/>
              </w:rPr>
              <w:t>4.8. Medición posterior</w:t>
            </w:r>
            <w:r>
              <w:rPr>
                <w:noProof/>
                <w:webHidden/>
              </w:rPr>
              <w:tab/>
            </w:r>
            <w:r>
              <w:rPr>
                <w:noProof/>
                <w:webHidden/>
              </w:rPr>
              <w:fldChar w:fldCharType="begin"/>
            </w:r>
            <w:r>
              <w:rPr>
                <w:noProof/>
                <w:webHidden/>
              </w:rPr>
              <w:instrText xml:space="preserve"> PAGEREF _Toc525721390 \h </w:instrText>
            </w:r>
            <w:r>
              <w:rPr>
                <w:noProof/>
                <w:webHidden/>
              </w:rPr>
            </w:r>
            <w:r>
              <w:rPr>
                <w:noProof/>
                <w:webHidden/>
              </w:rPr>
              <w:fldChar w:fldCharType="separate"/>
            </w:r>
            <w:r>
              <w:rPr>
                <w:noProof/>
                <w:webHidden/>
              </w:rPr>
              <w:t>39</w:t>
            </w:r>
            <w:r>
              <w:rPr>
                <w:noProof/>
                <w:webHidden/>
              </w:rPr>
              <w:fldChar w:fldCharType="end"/>
            </w:r>
          </w:hyperlink>
        </w:p>
        <w:p w14:paraId="6FEE0CB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1" w:history="1">
            <w:r w:rsidRPr="00A62630">
              <w:rPr>
                <w:rStyle w:val="Hipervnculo"/>
                <w:rFonts w:cs="Arial"/>
                <w:noProof/>
                <w:lang w:eastAsia="es-CO"/>
              </w:rPr>
              <w:t>4.9. Gestión de riesgo</w:t>
            </w:r>
            <w:r>
              <w:rPr>
                <w:noProof/>
                <w:webHidden/>
              </w:rPr>
              <w:tab/>
            </w:r>
            <w:r>
              <w:rPr>
                <w:noProof/>
                <w:webHidden/>
              </w:rPr>
              <w:fldChar w:fldCharType="begin"/>
            </w:r>
            <w:r>
              <w:rPr>
                <w:noProof/>
                <w:webHidden/>
              </w:rPr>
              <w:instrText xml:space="preserve"> PAGEREF _Toc525721391 \h </w:instrText>
            </w:r>
            <w:r>
              <w:rPr>
                <w:noProof/>
                <w:webHidden/>
              </w:rPr>
            </w:r>
            <w:r>
              <w:rPr>
                <w:noProof/>
                <w:webHidden/>
              </w:rPr>
              <w:fldChar w:fldCharType="separate"/>
            </w:r>
            <w:r>
              <w:rPr>
                <w:noProof/>
                <w:webHidden/>
              </w:rPr>
              <w:t>41</w:t>
            </w:r>
            <w:r>
              <w:rPr>
                <w:noProof/>
                <w:webHidden/>
              </w:rPr>
              <w:fldChar w:fldCharType="end"/>
            </w:r>
          </w:hyperlink>
        </w:p>
        <w:p w14:paraId="1A6B143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2" w:history="1">
            <w:r w:rsidRPr="00A62630">
              <w:rPr>
                <w:rStyle w:val="Hipervnculo"/>
                <w:rFonts w:cs="Arial"/>
                <w:noProof/>
                <w:lang w:eastAsia="es-CO"/>
              </w:rPr>
              <w:t>4.10. Controles Contables</w:t>
            </w:r>
            <w:r>
              <w:rPr>
                <w:noProof/>
                <w:webHidden/>
              </w:rPr>
              <w:tab/>
            </w:r>
            <w:r>
              <w:rPr>
                <w:noProof/>
                <w:webHidden/>
              </w:rPr>
              <w:fldChar w:fldCharType="begin"/>
            </w:r>
            <w:r>
              <w:rPr>
                <w:noProof/>
                <w:webHidden/>
              </w:rPr>
              <w:instrText xml:space="preserve"> PAGEREF _Toc525721392 \h </w:instrText>
            </w:r>
            <w:r>
              <w:rPr>
                <w:noProof/>
                <w:webHidden/>
              </w:rPr>
            </w:r>
            <w:r>
              <w:rPr>
                <w:noProof/>
                <w:webHidden/>
              </w:rPr>
              <w:fldChar w:fldCharType="separate"/>
            </w:r>
            <w:r>
              <w:rPr>
                <w:noProof/>
                <w:webHidden/>
              </w:rPr>
              <w:t>41</w:t>
            </w:r>
            <w:r>
              <w:rPr>
                <w:noProof/>
                <w:webHidden/>
              </w:rPr>
              <w:fldChar w:fldCharType="end"/>
            </w:r>
          </w:hyperlink>
        </w:p>
        <w:p w14:paraId="18F330F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3" w:history="1">
            <w:r w:rsidRPr="00A62630">
              <w:rPr>
                <w:rStyle w:val="Hipervnculo"/>
                <w:rFonts w:cs="Arial"/>
                <w:noProof/>
                <w:lang w:eastAsia="es-CO"/>
              </w:rPr>
              <w:t>4.11. Baja en cuentas</w:t>
            </w:r>
            <w:r>
              <w:rPr>
                <w:noProof/>
                <w:webHidden/>
              </w:rPr>
              <w:tab/>
            </w:r>
            <w:r>
              <w:rPr>
                <w:noProof/>
                <w:webHidden/>
              </w:rPr>
              <w:fldChar w:fldCharType="begin"/>
            </w:r>
            <w:r>
              <w:rPr>
                <w:noProof/>
                <w:webHidden/>
              </w:rPr>
              <w:instrText xml:space="preserve"> PAGEREF _Toc525721393 \h </w:instrText>
            </w:r>
            <w:r>
              <w:rPr>
                <w:noProof/>
                <w:webHidden/>
              </w:rPr>
            </w:r>
            <w:r>
              <w:rPr>
                <w:noProof/>
                <w:webHidden/>
              </w:rPr>
              <w:fldChar w:fldCharType="separate"/>
            </w:r>
            <w:r>
              <w:rPr>
                <w:noProof/>
                <w:webHidden/>
              </w:rPr>
              <w:t>42</w:t>
            </w:r>
            <w:r>
              <w:rPr>
                <w:noProof/>
                <w:webHidden/>
              </w:rPr>
              <w:fldChar w:fldCharType="end"/>
            </w:r>
          </w:hyperlink>
        </w:p>
        <w:p w14:paraId="44AA22E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4" w:history="1">
            <w:r w:rsidRPr="00A62630">
              <w:rPr>
                <w:rStyle w:val="Hipervnculo"/>
                <w:rFonts w:cs="Arial"/>
                <w:noProof/>
                <w:lang w:eastAsia="es-CO"/>
              </w:rPr>
              <w:t>4.12. Revelaciones</w:t>
            </w:r>
            <w:r>
              <w:rPr>
                <w:noProof/>
                <w:webHidden/>
              </w:rPr>
              <w:tab/>
            </w:r>
            <w:r>
              <w:rPr>
                <w:noProof/>
                <w:webHidden/>
              </w:rPr>
              <w:fldChar w:fldCharType="begin"/>
            </w:r>
            <w:r>
              <w:rPr>
                <w:noProof/>
                <w:webHidden/>
              </w:rPr>
              <w:instrText xml:space="preserve"> PAGEREF _Toc525721394 \h </w:instrText>
            </w:r>
            <w:r>
              <w:rPr>
                <w:noProof/>
                <w:webHidden/>
              </w:rPr>
            </w:r>
            <w:r>
              <w:rPr>
                <w:noProof/>
                <w:webHidden/>
              </w:rPr>
              <w:fldChar w:fldCharType="separate"/>
            </w:r>
            <w:r>
              <w:rPr>
                <w:noProof/>
                <w:webHidden/>
              </w:rPr>
              <w:t>42</w:t>
            </w:r>
            <w:r>
              <w:rPr>
                <w:noProof/>
                <w:webHidden/>
              </w:rPr>
              <w:fldChar w:fldCharType="end"/>
            </w:r>
          </w:hyperlink>
        </w:p>
        <w:p w14:paraId="4E0B154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5" w:history="1">
            <w:r w:rsidRPr="00A62630">
              <w:rPr>
                <w:rStyle w:val="Hipervnculo"/>
                <w:rFonts w:cs="Arial"/>
                <w:noProof/>
              </w:rPr>
              <w:t>5. POLÍTICA DE PROPIEDADES, PLANTA Y EQUIPO</w:t>
            </w:r>
            <w:r>
              <w:rPr>
                <w:noProof/>
                <w:webHidden/>
              </w:rPr>
              <w:tab/>
            </w:r>
            <w:r>
              <w:rPr>
                <w:noProof/>
                <w:webHidden/>
              </w:rPr>
              <w:fldChar w:fldCharType="begin"/>
            </w:r>
            <w:r>
              <w:rPr>
                <w:noProof/>
                <w:webHidden/>
              </w:rPr>
              <w:instrText xml:space="preserve"> PAGEREF _Toc525721395 \h </w:instrText>
            </w:r>
            <w:r>
              <w:rPr>
                <w:noProof/>
                <w:webHidden/>
              </w:rPr>
            </w:r>
            <w:r>
              <w:rPr>
                <w:noProof/>
                <w:webHidden/>
              </w:rPr>
              <w:fldChar w:fldCharType="separate"/>
            </w:r>
            <w:r>
              <w:rPr>
                <w:noProof/>
                <w:webHidden/>
              </w:rPr>
              <w:t>43</w:t>
            </w:r>
            <w:r>
              <w:rPr>
                <w:noProof/>
                <w:webHidden/>
              </w:rPr>
              <w:fldChar w:fldCharType="end"/>
            </w:r>
          </w:hyperlink>
        </w:p>
        <w:p w14:paraId="1A3CE2B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6" w:history="1">
            <w:r w:rsidRPr="00A62630">
              <w:rPr>
                <w:rStyle w:val="Hipervnculo"/>
                <w:rFonts w:cs="Arial"/>
                <w:noProof/>
              </w:rPr>
              <w:t>5.1. Objetivo</w:t>
            </w:r>
            <w:r>
              <w:rPr>
                <w:noProof/>
                <w:webHidden/>
              </w:rPr>
              <w:tab/>
            </w:r>
            <w:r>
              <w:rPr>
                <w:noProof/>
                <w:webHidden/>
              </w:rPr>
              <w:fldChar w:fldCharType="begin"/>
            </w:r>
            <w:r>
              <w:rPr>
                <w:noProof/>
                <w:webHidden/>
              </w:rPr>
              <w:instrText xml:space="preserve"> PAGEREF _Toc525721396 \h </w:instrText>
            </w:r>
            <w:r>
              <w:rPr>
                <w:noProof/>
                <w:webHidden/>
              </w:rPr>
            </w:r>
            <w:r>
              <w:rPr>
                <w:noProof/>
                <w:webHidden/>
              </w:rPr>
              <w:fldChar w:fldCharType="separate"/>
            </w:r>
            <w:r>
              <w:rPr>
                <w:noProof/>
                <w:webHidden/>
              </w:rPr>
              <w:t>43</w:t>
            </w:r>
            <w:r>
              <w:rPr>
                <w:noProof/>
                <w:webHidden/>
              </w:rPr>
              <w:fldChar w:fldCharType="end"/>
            </w:r>
          </w:hyperlink>
        </w:p>
        <w:p w14:paraId="2CD28C1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7" w:history="1">
            <w:r w:rsidRPr="00A62630">
              <w:rPr>
                <w:rStyle w:val="Hipervnculo"/>
                <w:rFonts w:cs="Arial"/>
                <w:noProof/>
              </w:rPr>
              <w:t>5.2. Normatividad Relacionada</w:t>
            </w:r>
            <w:r>
              <w:rPr>
                <w:noProof/>
                <w:webHidden/>
              </w:rPr>
              <w:tab/>
            </w:r>
            <w:r>
              <w:rPr>
                <w:noProof/>
                <w:webHidden/>
              </w:rPr>
              <w:fldChar w:fldCharType="begin"/>
            </w:r>
            <w:r>
              <w:rPr>
                <w:noProof/>
                <w:webHidden/>
              </w:rPr>
              <w:instrText xml:space="preserve"> PAGEREF _Toc525721397 \h </w:instrText>
            </w:r>
            <w:r>
              <w:rPr>
                <w:noProof/>
                <w:webHidden/>
              </w:rPr>
            </w:r>
            <w:r>
              <w:rPr>
                <w:noProof/>
                <w:webHidden/>
              </w:rPr>
              <w:fldChar w:fldCharType="separate"/>
            </w:r>
            <w:r>
              <w:rPr>
                <w:noProof/>
                <w:webHidden/>
              </w:rPr>
              <w:t>43</w:t>
            </w:r>
            <w:r>
              <w:rPr>
                <w:noProof/>
                <w:webHidden/>
              </w:rPr>
              <w:fldChar w:fldCharType="end"/>
            </w:r>
          </w:hyperlink>
        </w:p>
        <w:p w14:paraId="2454AFF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8" w:history="1">
            <w:r w:rsidRPr="00A62630">
              <w:rPr>
                <w:rStyle w:val="Hipervnculo"/>
                <w:rFonts w:cs="Arial"/>
                <w:noProof/>
              </w:rPr>
              <w:t>5.3. Alcance</w:t>
            </w:r>
            <w:r>
              <w:rPr>
                <w:noProof/>
                <w:webHidden/>
              </w:rPr>
              <w:tab/>
            </w:r>
            <w:r>
              <w:rPr>
                <w:noProof/>
                <w:webHidden/>
              </w:rPr>
              <w:fldChar w:fldCharType="begin"/>
            </w:r>
            <w:r>
              <w:rPr>
                <w:noProof/>
                <w:webHidden/>
              </w:rPr>
              <w:instrText xml:space="preserve"> PAGEREF _Toc525721398 \h </w:instrText>
            </w:r>
            <w:r>
              <w:rPr>
                <w:noProof/>
                <w:webHidden/>
              </w:rPr>
            </w:r>
            <w:r>
              <w:rPr>
                <w:noProof/>
                <w:webHidden/>
              </w:rPr>
              <w:fldChar w:fldCharType="separate"/>
            </w:r>
            <w:r>
              <w:rPr>
                <w:noProof/>
                <w:webHidden/>
              </w:rPr>
              <w:t>43</w:t>
            </w:r>
            <w:r>
              <w:rPr>
                <w:noProof/>
                <w:webHidden/>
              </w:rPr>
              <w:fldChar w:fldCharType="end"/>
            </w:r>
          </w:hyperlink>
        </w:p>
        <w:p w14:paraId="5FEE476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399" w:history="1">
            <w:r w:rsidRPr="00A62630">
              <w:rPr>
                <w:rStyle w:val="Hipervnculo"/>
                <w:rFonts w:cs="Arial"/>
                <w:noProof/>
              </w:rPr>
              <w:t>5.4. Política Contable General</w:t>
            </w:r>
            <w:r>
              <w:rPr>
                <w:noProof/>
                <w:webHidden/>
              </w:rPr>
              <w:tab/>
            </w:r>
            <w:r>
              <w:rPr>
                <w:noProof/>
                <w:webHidden/>
              </w:rPr>
              <w:fldChar w:fldCharType="begin"/>
            </w:r>
            <w:r>
              <w:rPr>
                <w:noProof/>
                <w:webHidden/>
              </w:rPr>
              <w:instrText xml:space="preserve"> PAGEREF _Toc525721399 \h </w:instrText>
            </w:r>
            <w:r>
              <w:rPr>
                <w:noProof/>
                <w:webHidden/>
              </w:rPr>
            </w:r>
            <w:r>
              <w:rPr>
                <w:noProof/>
                <w:webHidden/>
              </w:rPr>
              <w:fldChar w:fldCharType="separate"/>
            </w:r>
            <w:r>
              <w:rPr>
                <w:noProof/>
                <w:webHidden/>
              </w:rPr>
              <w:t>44</w:t>
            </w:r>
            <w:r>
              <w:rPr>
                <w:noProof/>
                <w:webHidden/>
              </w:rPr>
              <w:fldChar w:fldCharType="end"/>
            </w:r>
          </w:hyperlink>
        </w:p>
        <w:p w14:paraId="5336239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0" w:history="1">
            <w:r w:rsidRPr="00A62630">
              <w:rPr>
                <w:rStyle w:val="Hipervnculo"/>
                <w:rFonts w:cs="Arial"/>
                <w:noProof/>
              </w:rPr>
              <w:t>5.5. Reconocimiento</w:t>
            </w:r>
            <w:r>
              <w:rPr>
                <w:noProof/>
                <w:webHidden/>
              </w:rPr>
              <w:tab/>
            </w:r>
            <w:r>
              <w:rPr>
                <w:noProof/>
                <w:webHidden/>
              </w:rPr>
              <w:fldChar w:fldCharType="begin"/>
            </w:r>
            <w:r>
              <w:rPr>
                <w:noProof/>
                <w:webHidden/>
              </w:rPr>
              <w:instrText xml:space="preserve"> PAGEREF _Toc525721400 \h </w:instrText>
            </w:r>
            <w:r>
              <w:rPr>
                <w:noProof/>
                <w:webHidden/>
              </w:rPr>
            </w:r>
            <w:r>
              <w:rPr>
                <w:noProof/>
                <w:webHidden/>
              </w:rPr>
              <w:fldChar w:fldCharType="separate"/>
            </w:r>
            <w:r>
              <w:rPr>
                <w:noProof/>
                <w:webHidden/>
              </w:rPr>
              <w:t>44</w:t>
            </w:r>
            <w:r>
              <w:rPr>
                <w:noProof/>
                <w:webHidden/>
              </w:rPr>
              <w:fldChar w:fldCharType="end"/>
            </w:r>
          </w:hyperlink>
        </w:p>
        <w:p w14:paraId="5F013F2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1" w:history="1">
            <w:r w:rsidRPr="00A62630">
              <w:rPr>
                <w:rStyle w:val="Hipervnculo"/>
                <w:rFonts w:cs="Arial"/>
                <w:noProof/>
              </w:rPr>
              <w:t>5.6. Medición inicial</w:t>
            </w:r>
            <w:r>
              <w:rPr>
                <w:noProof/>
                <w:webHidden/>
              </w:rPr>
              <w:tab/>
            </w:r>
            <w:r>
              <w:rPr>
                <w:noProof/>
                <w:webHidden/>
              </w:rPr>
              <w:fldChar w:fldCharType="begin"/>
            </w:r>
            <w:r>
              <w:rPr>
                <w:noProof/>
                <w:webHidden/>
              </w:rPr>
              <w:instrText xml:space="preserve"> PAGEREF _Toc525721401 \h </w:instrText>
            </w:r>
            <w:r>
              <w:rPr>
                <w:noProof/>
                <w:webHidden/>
              </w:rPr>
            </w:r>
            <w:r>
              <w:rPr>
                <w:noProof/>
                <w:webHidden/>
              </w:rPr>
              <w:fldChar w:fldCharType="separate"/>
            </w:r>
            <w:r>
              <w:rPr>
                <w:noProof/>
                <w:webHidden/>
              </w:rPr>
              <w:t>46</w:t>
            </w:r>
            <w:r>
              <w:rPr>
                <w:noProof/>
                <w:webHidden/>
              </w:rPr>
              <w:fldChar w:fldCharType="end"/>
            </w:r>
          </w:hyperlink>
        </w:p>
        <w:p w14:paraId="4DDFFA4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2" w:history="1">
            <w:r w:rsidRPr="00A62630">
              <w:rPr>
                <w:rStyle w:val="Hipervnculo"/>
                <w:rFonts w:cs="Arial"/>
                <w:noProof/>
              </w:rPr>
              <w:t>5.7. Medición posterior</w:t>
            </w:r>
            <w:r>
              <w:rPr>
                <w:noProof/>
                <w:webHidden/>
              </w:rPr>
              <w:tab/>
            </w:r>
            <w:r>
              <w:rPr>
                <w:noProof/>
                <w:webHidden/>
              </w:rPr>
              <w:fldChar w:fldCharType="begin"/>
            </w:r>
            <w:r>
              <w:rPr>
                <w:noProof/>
                <w:webHidden/>
              </w:rPr>
              <w:instrText xml:space="preserve"> PAGEREF _Toc525721402 \h </w:instrText>
            </w:r>
            <w:r>
              <w:rPr>
                <w:noProof/>
                <w:webHidden/>
              </w:rPr>
            </w:r>
            <w:r>
              <w:rPr>
                <w:noProof/>
                <w:webHidden/>
              </w:rPr>
              <w:fldChar w:fldCharType="separate"/>
            </w:r>
            <w:r>
              <w:rPr>
                <w:noProof/>
                <w:webHidden/>
              </w:rPr>
              <w:t>46</w:t>
            </w:r>
            <w:r>
              <w:rPr>
                <w:noProof/>
                <w:webHidden/>
              </w:rPr>
              <w:fldChar w:fldCharType="end"/>
            </w:r>
          </w:hyperlink>
        </w:p>
        <w:p w14:paraId="24916A7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3" w:history="1">
            <w:r w:rsidRPr="00A62630">
              <w:rPr>
                <w:rStyle w:val="Hipervnculo"/>
                <w:rFonts w:cs="Arial"/>
                <w:noProof/>
              </w:rPr>
              <w:t>5.8. Gestión del riesgo</w:t>
            </w:r>
            <w:r>
              <w:rPr>
                <w:noProof/>
                <w:webHidden/>
              </w:rPr>
              <w:tab/>
            </w:r>
            <w:r>
              <w:rPr>
                <w:noProof/>
                <w:webHidden/>
              </w:rPr>
              <w:fldChar w:fldCharType="begin"/>
            </w:r>
            <w:r>
              <w:rPr>
                <w:noProof/>
                <w:webHidden/>
              </w:rPr>
              <w:instrText xml:space="preserve"> PAGEREF _Toc525721403 \h </w:instrText>
            </w:r>
            <w:r>
              <w:rPr>
                <w:noProof/>
                <w:webHidden/>
              </w:rPr>
            </w:r>
            <w:r>
              <w:rPr>
                <w:noProof/>
                <w:webHidden/>
              </w:rPr>
              <w:fldChar w:fldCharType="separate"/>
            </w:r>
            <w:r>
              <w:rPr>
                <w:noProof/>
                <w:webHidden/>
              </w:rPr>
              <w:t>48</w:t>
            </w:r>
            <w:r>
              <w:rPr>
                <w:noProof/>
                <w:webHidden/>
              </w:rPr>
              <w:fldChar w:fldCharType="end"/>
            </w:r>
          </w:hyperlink>
        </w:p>
        <w:p w14:paraId="79ADDD3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4" w:history="1">
            <w:r w:rsidRPr="00A62630">
              <w:rPr>
                <w:rStyle w:val="Hipervnculo"/>
                <w:rFonts w:cs="Arial"/>
                <w:noProof/>
              </w:rPr>
              <w:t>5.9. Controles Contables</w:t>
            </w:r>
            <w:r>
              <w:rPr>
                <w:noProof/>
                <w:webHidden/>
              </w:rPr>
              <w:tab/>
            </w:r>
            <w:r>
              <w:rPr>
                <w:noProof/>
                <w:webHidden/>
              </w:rPr>
              <w:fldChar w:fldCharType="begin"/>
            </w:r>
            <w:r>
              <w:rPr>
                <w:noProof/>
                <w:webHidden/>
              </w:rPr>
              <w:instrText xml:space="preserve"> PAGEREF _Toc525721404 \h </w:instrText>
            </w:r>
            <w:r>
              <w:rPr>
                <w:noProof/>
                <w:webHidden/>
              </w:rPr>
            </w:r>
            <w:r>
              <w:rPr>
                <w:noProof/>
                <w:webHidden/>
              </w:rPr>
              <w:fldChar w:fldCharType="separate"/>
            </w:r>
            <w:r>
              <w:rPr>
                <w:noProof/>
                <w:webHidden/>
              </w:rPr>
              <w:t>48</w:t>
            </w:r>
            <w:r>
              <w:rPr>
                <w:noProof/>
                <w:webHidden/>
              </w:rPr>
              <w:fldChar w:fldCharType="end"/>
            </w:r>
          </w:hyperlink>
        </w:p>
        <w:p w14:paraId="1E0CC1E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5" w:history="1">
            <w:r w:rsidRPr="00A62630">
              <w:rPr>
                <w:rStyle w:val="Hipervnculo"/>
                <w:rFonts w:cs="Arial"/>
                <w:noProof/>
              </w:rPr>
              <w:t>5.10. Baja en cuentas</w:t>
            </w:r>
            <w:r>
              <w:rPr>
                <w:noProof/>
                <w:webHidden/>
              </w:rPr>
              <w:tab/>
            </w:r>
            <w:r>
              <w:rPr>
                <w:noProof/>
                <w:webHidden/>
              </w:rPr>
              <w:fldChar w:fldCharType="begin"/>
            </w:r>
            <w:r>
              <w:rPr>
                <w:noProof/>
                <w:webHidden/>
              </w:rPr>
              <w:instrText xml:space="preserve"> PAGEREF _Toc525721405 \h </w:instrText>
            </w:r>
            <w:r>
              <w:rPr>
                <w:noProof/>
                <w:webHidden/>
              </w:rPr>
            </w:r>
            <w:r>
              <w:rPr>
                <w:noProof/>
                <w:webHidden/>
              </w:rPr>
              <w:fldChar w:fldCharType="separate"/>
            </w:r>
            <w:r>
              <w:rPr>
                <w:noProof/>
                <w:webHidden/>
              </w:rPr>
              <w:t>49</w:t>
            </w:r>
            <w:r>
              <w:rPr>
                <w:noProof/>
                <w:webHidden/>
              </w:rPr>
              <w:fldChar w:fldCharType="end"/>
            </w:r>
          </w:hyperlink>
        </w:p>
        <w:p w14:paraId="6A78826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6" w:history="1">
            <w:r w:rsidRPr="00A62630">
              <w:rPr>
                <w:rStyle w:val="Hipervnculo"/>
                <w:rFonts w:cs="Arial"/>
                <w:noProof/>
              </w:rPr>
              <w:t>5.11. Revelaciones</w:t>
            </w:r>
            <w:r>
              <w:rPr>
                <w:noProof/>
                <w:webHidden/>
              </w:rPr>
              <w:tab/>
            </w:r>
            <w:r>
              <w:rPr>
                <w:noProof/>
                <w:webHidden/>
              </w:rPr>
              <w:fldChar w:fldCharType="begin"/>
            </w:r>
            <w:r>
              <w:rPr>
                <w:noProof/>
                <w:webHidden/>
              </w:rPr>
              <w:instrText xml:space="preserve"> PAGEREF _Toc525721406 \h </w:instrText>
            </w:r>
            <w:r>
              <w:rPr>
                <w:noProof/>
                <w:webHidden/>
              </w:rPr>
            </w:r>
            <w:r>
              <w:rPr>
                <w:noProof/>
                <w:webHidden/>
              </w:rPr>
              <w:fldChar w:fldCharType="separate"/>
            </w:r>
            <w:r>
              <w:rPr>
                <w:noProof/>
                <w:webHidden/>
              </w:rPr>
              <w:t>49</w:t>
            </w:r>
            <w:r>
              <w:rPr>
                <w:noProof/>
                <w:webHidden/>
              </w:rPr>
              <w:fldChar w:fldCharType="end"/>
            </w:r>
          </w:hyperlink>
        </w:p>
        <w:p w14:paraId="2C308DE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7" w:history="1">
            <w:r w:rsidRPr="00A62630">
              <w:rPr>
                <w:rStyle w:val="Hipervnculo"/>
                <w:rFonts w:cs="Arial"/>
                <w:noProof/>
              </w:rPr>
              <w:t>6. POLÍTICA DE TRANSACCIONES TEMPORALES – ANTICIPOS</w:t>
            </w:r>
            <w:r>
              <w:rPr>
                <w:noProof/>
                <w:webHidden/>
              </w:rPr>
              <w:tab/>
            </w:r>
            <w:r>
              <w:rPr>
                <w:noProof/>
                <w:webHidden/>
              </w:rPr>
              <w:fldChar w:fldCharType="begin"/>
            </w:r>
            <w:r>
              <w:rPr>
                <w:noProof/>
                <w:webHidden/>
              </w:rPr>
              <w:instrText xml:space="preserve"> PAGEREF _Toc525721407 \h </w:instrText>
            </w:r>
            <w:r>
              <w:rPr>
                <w:noProof/>
                <w:webHidden/>
              </w:rPr>
            </w:r>
            <w:r>
              <w:rPr>
                <w:noProof/>
                <w:webHidden/>
              </w:rPr>
              <w:fldChar w:fldCharType="separate"/>
            </w:r>
            <w:r>
              <w:rPr>
                <w:noProof/>
                <w:webHidden/>
              </w:rPr>
              <w:t>50</w:t>
            </w:r>
            <w:r>
              <w:rPr>
                <w:noProof/>
                <w:webHidden/>
              </w:rPr>
              <w:fldChar w:fldCharType="end"/>
            </w:r>
          </w:hyperlink>
        </w:p>
        <w:p w14:paraId="5DC1A06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8" w:history="1">
            <w:r w:rsidRPr="00A62630">
              <w:rPr>
                <w:rStyle w:val="Hipervnculo"/>
                <w:rFonts w:cs="Arial"/>
                <w:noProof/>
              </w:rPr>
              <w:t>6.1. Objetivo</w:t>
            </w:r>
            <w:r>
              <w:rPr>
                <w:noProof/>
                <w:webHidden/>
              </w:rPr>
              <w:tab/>
            </w:r>
            <w:r>
              <w:rPr>
                <w:noProof/>
                <w:webHidden/>
              </w:rPr>
              <w:fldChar w:fldCharType="begin"/>
            </w:r>
            <w:r>
              <w:rPr>
                <w:noProof/>
                <w:webHidden/>
              </w:rPr>
              <w:instrText xml:space="preserve"> PAGEREF _Toc525721408 \h </w:instrText>
            </w:r>
            <w:r>
              <w:rPr>
                <w:noProof/>
                <w:webHidden/>
              </w:rPr>
            </w:r>
            <w:r>
              <w:rPr>
                <w:noProof/>
                <w:webHidden/>
              </w:rPr>
              <w:fldChar w:fldCharType="separate"/>
            </w:r>
            <w:r>
              <w:rPr>
                <w:noProof/>
                <w:webHidden/>
              </w:rPr>
              <w:t>50</w:t>
            </w:r>
            <w:r>
              <w:rPr>
                <w:noProof/>
                <w:webHidden/>
              </w:rPr>
              <w:fldChar w:fldCharType="end"/>
            </w:r>
          </w:hyperlink>
        </w:p>
        <w:p w14:paraId="6832769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09" w:history="1">
            <w:r w:rsidRPr="00A62630">
              <w:rPr>
                <w:rStyle w:val="Hipervnculo"/>
                <w:rFonts w:cs="Arial"/>
                <w:noProof/>
              </w:rPr>
              <w:t>6.2. Normatividad relacionada</w:t>
            </w:r>
            <w:r>
              <w:rPr>
                <w:noProof/>
                <w:webHidden/>
              </w:rPr>
              <w:tab/>
            </w:r>
            <w:r>
              <w:rPr>
                <w:noProof/>
                <w:webHidden/>
              </w:rPr>
              <w:fldChar w:fldCharType="begin"/>
            </w:r>
            <w:r>
              <w:rPr>
                <w:noProof/>
                <w:webHidden/>
              </w:rPr>
              <w:instrText xml:space="preserve"> PAGEREF _Toc525721409 \h </w:instrText>
            </w:r>
            <w:r>
              <w:rPr>
                <w:noProof/>
                <w:webHidden/>
              </w:rPr>
            </w:r>
            <w:r>
              <w:rPr>
                <w:noProof/>
                <w:webHidden/>
              </w:rPr>
              <w:fldChar w:fldCharType="separate"/>
            </w:r>
            <w:r>
              <w:rPr>
                <w:noProof/>
                <w:webHidden/>
              </w:rPr>
              <w:t>51</w:t>
            </w:r>
            <w:r>
              <w:rPr>
                <w:noProof/>
                <w:webHidden/>
              </w:rPr>
              <w:fldChar w:fldCharType="end"/>
            </w:r>
          </w:hyperlink>
        </w:p>
        <w:p w14:paraId="72FB5D8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0" w:history="1">
            <w:r w:rsidRPr="00A62630">
              <w:rPr>
                <w:rStyle w:val="Hipervnculo"/>
                <w:rFonts w:cs="Arial"/>
                <w:noProof/>
              </w:rPr>
              <w:t>6.3. Alcance</w:t>
            </w:r>
            <w:r>
              <w:rPr>
                <w:noProof/>
                <w:webHidden/>
              </w:rPr>
              <w:tab/>
            </w:r>
            <w:r>
              <w:rPr>
                <w:noProof/>
                <w:webHidden/>
              </w:rPr>
              <w:fldChar w:fldCharType="begin"/>
            </w:r>
            <w:r>
              <w:rPr>
                <w:noProof/>
                <w:webHidden/>
              </w:rPr>
              <w:instrText xml:space="preserve"> PAGEREF _Toc525721410 \h </w:instrText>
            </w:r>
            <w:r>
              <w:rPr>
                <w:noProof/>
                <w:webHidden/>
              </w:rPr>
            </w:r>
            <w:r>
              <w:rPr>
                <w:noProof/>
                <w:webHidden/>
              </w:rPr>
              <w:fldChar w:fldCharType="separate"/>
            </w:r>
            <w:r>
              <w:rPr>
                <w:noProof/>
                <w:webHidden/>
              </w:rPr>
              <w:t>51</w:t>
            </w:r>
            <w:r>
              <w:rPr>
                <w:noProof/>
                <w:webHidden/>
              </w:rPr>
              <w:fldChar w:fldCharType="end"/>
            </w:r>
          </w:hyperlink>
        </w:p>
        <w:p w14:paraId="304027D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1" w:history="1">
            <w:r w:rsidRPr="00A62630">
              <w:rPr>
                <w:rStyle w:val="Hipervnculo"/>
                <w:rFonts w:cs="Arial"/>
                <w:noProof/>
              </w:rPr>
              <w:t>6.4. Política Contable General</w:t>
            </w:r>
            <w:r>
              <w:rPr>
                <w:noProof/>
                <w:webHidden/>
              </w:rPr>
              <w:tab/>
            </w:r>
            <w:r>
              <w:rPr>
                <w:noProof/>
                <w:webHidden/>
              </w:rPr>
              <w:fldChar w:fldCharType="begin"/>
            </w:r>
            <w:r>
              <w:rPr>
                <w:noProof/>
                <w:webHidden/>
              </w:rPr>
              <w:instrText xml:space="preserve"> PAGEREF _Toc525721411 \h </w:instrText>
            </w:r>
            <w:r>
              <w:rPr>
                <w:noProof/>
                <w:webHidden/>
              </w:rPr>
            </w:r>
            <w:r>
              <w:rPr>
                <w:noProof/>
                <w:webHidden/>
              </w:rPr>
              <w:fldChar w:fldCharType="separate"/>
            </w:r>
            <w:r>
              <w:rPr>
                <w:noProof/>
                <w:webHidden/>
              </w:rPr>
              <w:t>51</w:t>
            </w:r>
            <w:r>
              <w:rPr>
                <w:noProof/>
                <w:webHidden/>
              </w:rPr>
              <w:fldChar w:fldCharType="end"/>
            </w:r>
          </w:hyperlink>
        </w:p>
        <w:p w14:paraId="2845194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2" w:history="1">
            <w:r w:rsidRPr="00A62630">
              <w:rPr>
                <w:rStyle w:val="Hipervnculo"/>
                <w:rFonts w:cs="Arial"/>
                <w:noProof/>
                <w:lang w:eastAsia="es-CO"/>
              </w:rPr>
              <w:t>6.5. Reconocimiento</w:t>
            </w:r>
            <w:r>
              <w:rPr>
                <w:noProof/>
                <w:webHidden/>
              </w:rPr>
              <w:tab/>
            </w:r>
            <w:r>
              <w:rPr>
                <w:noProof/>
                <w:webHidden/>
              </w:rPr>
              <w:fldChar w:fldCharType="begin"/>
            </w:r>
            <w:r>
              <w:rPr>
                <w:noProof/>
                <w:webHidden/>
              </w:rPr>
              <w:instrText xml:space="preserve"> PAGEREF _Toc525721412 \h </w:instrText>
            </w:r>
            <w:r>
              <w:rPr>
                <w:noProof/>
                <w:webHidden/>
              </w:rPr>
            </w:r>
            <w:r>
              <w:rPr>
                <w:noProof/>
                <w:webHidden/>
              </w:rPr>
              <w:fldChar w:fldCharType="separate"/>
            </w:r>
            <w:r>
              <w:rPr>
                <w:noProof/>
                <w:webHidden/>
              </w:rPr>
              <w:t>51</w:t>
            </w:r>
            <w:r>
              <w:rPr>
                <w:noProof/>
                <w:webHidden/>
              </w:rPr>
              <w:fldChar w:fldCharType="end"/>
            </w:r>
          </w:hyperlink>
        </w:p>
        <w:p w14:paraId="7DE79F2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3" w:history="1">
            <w:r w:rsidRPr="00A62630">
              <w:rPr>
                <w:rStyle w:val="Hipervnculo"/>
                <w:rFonts w:cs="Arial"/>
                <w:noProof/>
                <w:lang w:eastAsia="es-CO"/>
              </w:rPr>
              <w:t>6.6. Medición inicial</w:t>
            </w:r>
            <w:r>
              <w:rPr>
                <w:noProof/>
                <w:webHidden/>
              </w:rPr>
              <w:tab/>
            </w:r>
            <w:r>
              <w:rPr>
                <w:noProof/>
                <w:webHidden/>
              </w:rPr>
              <w:fldChar w:fldCharType="begin"/>
            </w:r>
            <w:r>
              <w:rPr>
                <w:noProof/>
                <w:webHidden/>
              </w:rPr>
              <w:instrText xml:space="preserve"> PAGEREF _Toc525721413 \h </w:instrText>
            </w:r>
            <w:r>
              <w:rPr>
                <w:noProof/>
                <w:webHidden/>
              </w:rPr>
            </w:r>
            <w:r>
              <w:rPr>
                <w:noProof/>
                <w:webHidden/>
              </w:rPr>
              <w:fldChar w:fldCharType="separate"/>
            </w:r>
            <w:r>
              <w:rPr>
                <w:noProof/>
                <w:webHidden/>
              </w:rPr>
              <w:t>51</w:t>
            </w:r>
            <w:r>
              <w:rPr>
                <w:noProof/>
                <w:webHidden/>
              </w:rPr>
              <w:fldChar w:fldCharType="end"/>
            </w:r>
          </w:hyperlink>
        </w:p>
        <w:p w14:paraId="39D12CE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4" w:history="1">
            <w:r w:rsidRPr="00A62630">
              <w:rPr>
                <w:rStyle w:val="Hipervnculo"/>
                <w:rFonts w:cs="Arial"/>
                <w:noProof/>
                <w:lang w:eastAsia="es-CO"/>
              </w:rPr>
              <w:t>6.7. Medición posterior</w:t>
            </w:r>
            <w:r>
              <w:rPr>
                <w:noProof/>
                <w:webHidden/>
              </w:rPr>
              <w:tab/>
            </w:r>
            <w:r>
              <w:rPr>
                <w:noProof/>
                <w:webHidden/>
              </w:rPr>
              <w:fldChar w:fldCharType="begin"/>
            </w:r>
            <w:r>
              <w:rPr>
                <w:noProof/>
                <w:webHidden/>
              </w:rPr>
              <w:instrText xml:space="preserve"> PAGEREF _Toc525721414 \h </w:instrText>
            </w:r>
            <w:r>
              <w:rPr>
                <w:noProof/>
                <w:webHidden/>
              </w:rPr>
            </w:r>
            <w:r>
              <w:rPr>
                <w:noProof/>
                <w:webHidden/>
              </w:rPr>
              <w:fldChar w:fldCharType="separate"/>
            </w:r>
            <w:r>
              <w:rPr>
                <w:noProof/>
                <w:webHidden/>
              </w:rPr>
              <w:t>51</w:t>
            </w:r>
            <w:r>
              <w:rPr>
                <w:noProof/>
                <w:webHidden/>
              </w:rPr>
              <w:fldChar w:fldCharType="end"/>
            </w:r>
          </w:hyperlink>
        </w:p>
        <w:p w14:paraId="28B55BE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5" w:history="1">
            <w:r w:rsidRPr="00A62630">
              <w:rPr>
                <w:rStyle w:val="Hipervnculo"/>
                <w:rFonts w:cs="Arial"/>
                <w:noProof/>
                <w:lang w:eastAsia="es-CO"/>
              </w:rPr>
              <w:t>6.8. Gestión de riesgo</w:t>
            </w:r>
            <w:r>
              <w:rPr>
                <w:noProof/>
                <w:webHidden/>
              </w:rPr>
              <w:tab/>
            </w:r>
            <w:r>
              <w:rPr>
                <w:noProof/>
                <w:webHidden/>
              </w:rPr>
              <w:fldChar w:fldCharType="begin"/>
            </w:r>
            <w:r>
              <w:rPr>
                <w:noProof/>
                <w:webHidden/>
              </w:rPr>
              <w:instrText xml:space="preserve"> PAGEREF _Toc525721415 \h </w:instrText>
            </w:r>
            <w:r>
              <w:rPr>
                <w:noProof/>
                <w:webHidden/>
              </w:rPr>
            </w:r>
            <w:r>
              <w:rPr>
                <w:noProof/>
                <w:webHidden/>
              </w:rPr>
              <w:fldChar w:fldCharType="separate"/>
            </w:r>
            <w:r>
              <w:rPr>
                <w:noProof/>
                <w:webHidden/>
              </w:rPr>
              <w:t>52</w:t>
            </w:r>
            <w:r>
              <w:rPr>
                <w:noProof/>
                <w:webHidden/>
              </w:rPr>
              <w:fldChar w:fldCharType="end"/>
            </w:r>
          </w:hyperlink>
        </w:p>
        <w:p w14:paraId="5092DA7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6" w:history="1">
            <w:r w:rsidRPr="00A62630">
              <w:rPr>
                <w:rStyle w:val="Hipervnculo"/>
                <w:rFonts w:cs="Arial"/>
                <w:noProof/>
                <w:lang w:eastAsia="es-CO"/>
              </w:rPr>
              <w:t>6.9. Controles Contables</w:t>
            </w:r>
            <w:r>
              <w:rPr>
                <w:noProof/>
                <w:webHidden/>
              </w:rPr>
              <w:tab/>
            </w:r>
            <w:r>
              <w:rPr>
                <w:noProof/>
                <w:webHidden/>
              </w:rPr>
              <w:fldChar w:fldCharType="begin"/>
            </w:r>
            <w:r>
              <w:rPr>
                <w:noProof/>
                <w:webHidden/>
              </w:rPr>
              <w:instrText xml:space="preserve"> PAGEREF _Toc525721416 \h </w:instrText>
            </w:r>
            <w:r>
              <w:rPr>
                <w:noProof/>
                <w:webHidden/>
              </w:rPr>
            </w:r>
            <w:r>
              <w:rPr>
                <w:noProof/>
                <w:webHidden/>
              </w:rPr>
              <w:fldChar w:fldCharType="separate"/>
            </w:r>
            <w:r>
              <w:rPr>
                <w:noProof/>
                <w:webHidden/>
              </w:rPr>
              <w:t>52</w:t>
            </w:r>
            <w:r>
              <w:rPr>
                <w:noProof/>
                <w:webHidden/>
              </w:rPr>
              <w:fldChar w:fldCharType="end"/>
            </w:r>
          </w:hyperlink>
        </w:p>
        <w:p w14:paraId="2CD51B7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7" w:history="1">
            <w:r w:rsidRPr="00A62630">
              <w:rPr>
                <w:rStyle w:val="Hipervnculo"/>
                <w:rFonts w:cs="Arial"/>
                <w:noProof/>
                <w:lang w:eastAsia="es-CO"/>
              </w:rPr>
              <w:t>6.10. Revelaciones</w:t>
            </w:r>
            <w:r>
              <w:rPr>
                <w:noProof/>
                <w:webHidden/>
              </w:rPr>
              <w:tab/>
            </w:r>
            <w:r>
              <w:rPr>
                <w:noProof/>
                <w:webHidden/>
              </w:rPr>
              <w:fldChar w:fldCharType="begin"/>
            </w:r>
            <w:r>
              <w:rPr>
                <w:noProof/>
                <w:webHidden/>
              </w:rPr>
              <w:instrText xml:space="preserve"> PAGEREF _Toc525721417 \h </w:instrText>
            </w:r>
            <w:r>
              <w:rPr>
                <w:noProof/>
                <w:webHidden/>
              </w:rPr>
            </w:r>
            <w:r>
              <w:rPr>
                <w:noProof/>
                <w:webHidden/>
              </w:rPr>
              <w:fldChar w:fldCharType="separate"/>
            </w:r>
            <w:r>
              <w:rPr>
                <w:noProof/>
                <w:webHidden/>
              </w:rPr>
              <w:t>52</w:t>
            </w:r>
            <w:r>
              <w:rPr>
                <w:noProof/>
                <w:webHidden/>
              </w:rPr>
              <w:fldChar w:fldCharType="end"/>
            </w:r>
          </w:hyperlink>
        </w:p>
        <w:p w14:paraId="068BA29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8" w:history="1">
            <w:r w:rsidRPr="00A62630">
              <w:rPr>
                <w:rStyle w:val="Hipervnculo"/>
                <w:rFonts w:cs="Arial"/>
                <w:noProof/>
              </w:rPr>
              <w:t>7. ACTIVOS INTANGIBLES</w:t>
            </w:r>
            <w:r>
              <w:rPr>
                <w:noProof/>
                <w:webHidden/>
              </w:rPr>
              <w:tab/>
            </w:r>
            <w:r>
              <w:rPr>
                <w:noProof/>
                <w:webHidden/>
              </w:rPr>
              <w:fldChar w:fldCharType="begin"/>
            </w:r>
            <w:r>
              <w:rPr>
                <w:noProof/>
                <w:webHidden/>
              </w:rPr>
              <w:instrText xml:space="preserve"> PAGEREF _Toc525721418 \h </w:instrText>
            </w:r>
            <w:r>
              <w:rPr>
                <w:noProof/>
                <w:webHidden/>
              </w:rPr>
            </w:r>
            <w:r>
              <w:rPr>
                <w:noProof/>
                <w:webHidden/>
              </w:rPr>
              <w:fldChar w:fldCharType="separate"/>
            </w:r>
            <w:r>
              <w:rPr>
                <w:noProof/>
                <w:webHidden/>
              </w:rPr>
              <w:t>52</w:t>
            </w:r>
            <w:r>
              <w:rPr>
                <w:noProof/>
                <w:webHidden/>
              </w:rPr>
              <w:fldChar w:fldCharType="end"/>
            </w:r>
          </w:hyperlink>
        </w:p>
        <w:p w14:paraId="35E82B3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19" w:history="1">
            <w:r w:rsidRPr="00A62630">
              <w:rPr>
                <w:rStyle w:val="Hipervnculo"/>
                <w:rFonts w:cs="Arial"/>
                <w:noProof/>
              </w:rPr>
              <w:t>7.1. Objetivo</w:t>
            </w:r>
            <w:r>
              <w:rPr>
                <w:noProof/>
                <w:webHidden/>
              </w:rPr>
              <w:tab/>
            </w:r>
            <w:r>
              <w:rPr>
                <w:noProof/>
                <w:webHidden/>
              </w:rPr>
              <w:fldChar w:fldCharType="begin"/>
            </w:r>
            <w:r>
              <w:rPr>
                <w:noProof/>
                <w:webHidden/>
              </w:rPr>
              <w:instrText xml:space="preserve"> PAGEREF _Toc525721419 \h </w:instrText>
            </w:r>
            <w:r>
              <w:rPr>
                <w:noProof/>
                <w:webHidden/>
              </w:rPr>
            </w:r>
            <w:r>
              <w:rPr>
                <w:noProof/>
                <w:webHidden/>
              </w:rPr>
              <w:fldChar w:fldCharType="separate"/>
            </w:r>
            <w:r>
              <w:rPr>
                <w:noProof/>
                <w:webHidden/>
              </w:rPr>
              <w:t>52</w:t>
            </w:r>
            <w:r>
              <w:rPr>
                <w:noProof/>
                <w:webHidden/>
              </w:rPr>
              <w:fldChar w:fldCharType="end"/>
            </w:r>
          </w:hyperlink>
        </w:p>
        <w:p w14:paraId="26CF43C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0" w:history="1">
            <w:r w:rsidRPr="00A62630">
              <w:rPr>
                <w:rStyle w:val="Hipervnculo"/>
                <w:rFonts w:cs="Arial"/>
                <w:noProof/>
              </w:rPr>
              <w:t>7.2. Normatividad relacionada</w:t>
            </w:r>
            <w:r>
              <w:rPr>
                <w:noProof/>
                <w:webHidden/>
              </w:rPr>
              <w:tab/>
            </w:r>
            <w:r>
              <w:rPr>
                <w:noProof/>
                <w:webHidden/>
              </w:rPr>
              <w:fldChar w:fldCharType="begin"/>
            </w:r>
            <w:r>
              <w:rPr>
                <w:noProof/>
                <w:webHidden/>
              </w:rPr>
              <w:instrText xml:space="preserve"> PAGEREF _Toc525721420 \h </w:instrText>
            </w:r>
            <w:r>
              <w:rPr>
                <w:noProof/>
                <w:webHidden/>
              </w:rPr>
            </w:r>
            <w:r>
              <w:rPr>
                <w:noProof/>
                <w:webHidden/>
              </w:rPr>
              <w:fldChar w:fldCharType="separate"/>
            </w:r>
            <w:r>
              <w:rPr>
                <w:noProof/>
                <w:webHidden/>
              </w:rPr>
              <w:t>52</w:t>
            </w:r>
            <w:r>
              <w:rPr>
                <w:noProof/>
                <w:webHidden/>
              </w:rPr>
              <w:fldChar w:fldCharType="end"/>
            </w:r>
          </w:hyperlink>
        </w:p>
        <w:p w14:paraId="786754B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1" w:history="1">
            <w:r w:rsidRPr="00A62630">
              <w:rPr>
                <w:rStyle w:val="Hipervnculo"/>
                <w:rFonts w:cs="Arial"/>
                <w:noProof/>
              </w:rPr>
              <w:t>7.3. Alcance</w:t>
            </w:r>
            <w:r>
              <w:rPr>
                <w:noProof/>
                <w:webHidden/>
              </w:rPr>
              <w:tab/>
            </w:r>
            <w:r>
              <w:rPr>
                <w:noProof/>
                <w:webHidden/>
              </w:rPr>
              <w:fldChar w:fldCharType="begin"/>
            </w:r>
            <w:r>
              <w:rPr>
                <w:noProof/>
                <w:webHidden/>
              </w:rPr>
              <w:instrText xml:space="preserve"> PAGEREF _Toc525721421 \h </w:instrText>
            </w:r>
            <w:r>
              <w:rPr>
                <w:noProof/>
                <w:webHidden/>
              </w:rPr>
            </w:r>
            <w:r>
              <w:rPr>
                <w:noProof/>
                <w:webHidden/>
              </w:rPr>
              <w:fldChar w:fldCharType="separate"/>
            </w:r>
            <w:r>
              <w:rPr>
                <w:noProof/>
                <w:webHidden/>
              </w:rPr>
              <w:t>52</w:t>
            </w:r>
            <w:r>
              <w:rPr>
                <w:noProof/>
                <w:webHidden/>
              </w:rPr>
              <w:fldChar w:fldCharType="end"/>
            </w:r>
          </w:hyperlink>
        </w:p>
        <w:p w14:paraId="2F292E1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2" w:history="1">
            <w:r w:rsidRPr="00A62630">
              <w:rPr>
                <w:rStyle w:val="Hipervnculo"/>
                <w:rFonts w:cs="Arial"/>
                <w:noProof/>
              </w:rPr>
              <w:t>7.4. Política Contable General</w:t>
            </w:r>
            <w:r>
              <w:rPr>
                <w:noProof/>
                <w:webHidden/>
              </w:rPr>
              <w:tab/>
            </w:r>
            <w:r>
              <w:rPr>
                <w:noProof/>
                <w:webHidden/>
              </w:rPr>
              <w:fldChar w:fldCharType="begin"/>
            </w:r>
            <w:r>
              <w:rPr>
                <w:noProof/>
                <w:webHidden/>
              </w:rPr>
              <w:instrText xml:space="preserve"> PAGEREF _Toc525721422 \h </w:instrText>
            </w:r>
            <w:r>
              <w:rPr>
                <w:noProof/>
                <w:webHidden/>
              </w:rPr>
            </w:r>
            <w:r>
              <w:rPr>
                <w:noProof/>
                <w:webHidden/>
              </w:rPr>
              <w:fldChar w:fldCharType="separate"/>
            </w:r>
            <w:r>
              <w:rPr>
                <w:noProof/>
                <w:webHidden/>
              </w:rPr>
              <w:t>53</w:t>
            </w:r>
            <w:r>
              <w:rPr>
                <w:noProof/>
                <w:webHidden/>
              </w:rPr>
              <w:fldChar w:fldCharType="end"/>
            </w:r>
          </w:hyperlink>
        </w:p>
        <w:p w14:paraId="59DA2B4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3" w:history="1">
            <w:r w:rsidRPr="00A62630">
              <w:rPr>
                <w:rStyle w:val="Hipervnculo"/>
                <w:rFonts w:cs="Arial"/>
                <w:noProof/>
              </w:rPr>
              <w:t>7.5. Reconocimiento</w:t>
            </w:r>
            <w:r>
              <w:rPr>
                <w:noProof/>
                <w:webHidden/>
              </w:rPr>
              <w:tab/>
            </w:r>
            <w:r>
              <w:rPr>
                <w:noProof/>
                <w:webHidden/>
              </w:rPr>
              <w:fldChar w:fldCharType="begin"/>
            </w:r>
            <w:r>
              <w:rPr>
                <w:noProof/>
                <w:webHidden/>
              </w:rPr>
              <w:instrText xml:space="preserve"> PAGEREF _Toc525721423 \h </w:instrText>
            </w:r>
            <w:r>
              <w:rPr>
                <w:noProof/>
                <w:webHidden/>
              </w:rPr>
            </w:r>
            <w:r>
              <w:rPr>
                <w:noProof/>
                <w:webHidden/>
              </w:rPr>
              <w:fldChar w:fldCharType="separate"/>
            </w:r>
            <w:r>
              <w:rPr>
                <w:noProof/>
                <w:webHidden/>
              </w:rPr>
              <w:t>54</w:t>
            </w:r>
            <w:r>
              <w:rPr>
                <w:noProof/>
                <w:webHidden/>
              </w:rPr>
              <w:fldChar w:fldCharType="end"/>
            </w:r>
          </w:hyperlink>
        </w:p>
        <w:p w14:paraId="21BA42F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4" w:history="1">
            <w:r w:rsidRPr="00A62630">
              <w:rPr>
                <w:rStyle w:val="Hipervnculo"/>
                <w:rFonts w:cs="Arial"/>
                <w:noProof/>
              </w:rPr>
              <w:t>7.6. Medición inicial</w:t>
            </w:r>
            <w:r>
              <w:rPr>
                <w:noProof/>
                <w:webHidden/>
              </w:rPr>
              <w:tab/>
            </w:r>
            <w:r>
              <w:rPr>
                <w:noProof/>
                <w:webHidden/>
              </w:rPr>
              <w:fldChar w:fldCharType="begin"/>
            </w:r>
            <w:r>
              <w:rPr>
                <w:noProof/>
                <w:webHidden/>
              </w:rPr>
              <w:instrText xml:space="preserve"> PAGEREF _Toc525721424 \h </w:instrText>
            </w:r>
            <w:r>
              <w:rPr>
                <w:noProof/>
                <w:webHidden/>
              </w:rPr>
            </w:r>
            <w:r>
              <w:rPr>
                <w:noProof/>
                <w:webHidden/>
              </w:rPr>
              <w:fldChar w:fldCharType="separate"/>
            </w:r>
            <w:r>
              <w:rPr>
                <w:noProof/>
                <w:webHidden/>
              </w:rPr>
              <w:t>55</w:t>
            </w:r>
            <w:r>
              <w:rPr>
                <w:noProof/>
                <w:webHidden/>
              </w:rPr>
              <w:fldChar w:fldCharType="end"/>
            </w:r>
          </w:hyperlink>
        </w:p>
        <w:p w14:paraId="01A7DC3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5" w:history="1">
            <w:r w:rsidRPr="00A62630">
              <w:rPr>
                <w:rStyle w:val="Hipervnculo"/>
                <w:rFonts w:cs="Arial"/>
                <w:noProof/>
              </w:rPr>
              <w:t>7.7. Medición posterior</w:t>
            </w:r>
            <w:r>
              <w:rPr>
                <w:noProof/>
                <w:webHidden/>
              </w:rPr>
              <w:tab/>
            </w:r>
            <w:r>
              <w:rPr>
                <w:noProof/>
                <w:webHidden/>
              </w:rPr>
              <w:fldChar w:fldCharType="begin"/>
            </w:r>
            <w:r>
              <w:rPr>
                <w:noProof/>
                <w:webHidden/>
              </w:rPr>
              <w:instrText xml:space="preserve"> PAGEREF _Toc525721425 \h </w:instrText>
            </w:r>
            <w:r>
              <w:rPr>
                <w:noProof/>
                <w:webHidden/>
              </w:rPr>
            </w:r>
            <w:r>
              <w:rPr>
                <w:noProof/>
                <w:webHidden/>
              </w:rPr>
              <w:fldChar w:fldCharType="separate"/>
            </w:r>
            <w:r>
              <w:rPr>
                <w:noProof/>
                <w:webHidden/>
              </w:rPr>
              <w:t>58</w:t>
            </w:r>
            <w:r>
              <w:rPr>
                <w:noProof/>
                <w:webHidden/>
              </w:rPr>
              <w:fldChar w:fldCharType="end"/>
            </w:r>
          </w:hyperlink>
        </w:p>
        <w:p w14:paraId="1FB805B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6" w:history="1">
            <w:r w:rsidRPr="00A62630">
              <w:rPr>
                <w:rStyle w:val="Hipervnculo"/>
                <w:rFonts w:cs="Arial"/>
                <w:noProof/>
                <w:lang w:eastAsia="es-CO"/>
              </w:rPr>
              <w:t>7.8. Gestión de riesgo</w:t>
            </w:r>
            <w:r>
              <w:rPr>
                <w:noProof/>
                <w:webHidden/>
              </w:rPr>
              <w:tab/>
            </w:r>
            <w:r>
              <w:rPr>
                <w:noProof/>
                <w:webHidden/>
              </w:rPr>
              <w:fldChar w:fldCharType="begin"/>
            </w:r>
            <w:r>
              <w:rPr>
                <w:noProof/>
                <w:webHidden/>
              </w:rPr>
              <w:instrText xml:space="preserve"> PAGEREF _Toc525721426 \h </w:instrText>
            </w:r>
            <w:r>
              <w:rPr>
                <w:noProof/>
                <w:webHidden/>
              </w:rPr>
            </w:r>
            <w:r>
              <w:rPr>
                <w:noProof/>
                <w:webHidden/>
              </w:rPr>
              <w:fldChar w:fldCharType="separate"/>
            </w:r>
            <w:r>
              <w:rPr>
                <w:noProof/>
                <w:webHidden/>
              </w:rPr>
              <w:t>59</w:t>
            </w:r>
            <w:r>
              <w:rPr>
                <w:noProof/>
                <w:webHidden/>
              </w:rPr>
              <w:fldChar w:fldCharType="end"/>
            </w:r>
          </w:hyperlink>
        </w:p>
        <w:p w14:paraId="71BF3DB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7" w:history="1">
            <w:r w:rsidRPr="00A62630">
              <w:rPr>
                <w:rStyle w:val="Hipervnculo"/>
                <w:rFonts w:cs="Arial"/>
                <w:noProof/>
              </w:rPr>
              <w:t>7.9. Controles contables</w:t>
            </w:r>
            <w:r>
              <w:rPr>
                <w:noProof/>
                <w:webHidden/>
              </w:rPr>
              <w:tab/>
            </w:r>
            <w:r>
              <w:rPr>
                <w:noProof/>
                <w:webHidden/>
              </w:rPr>
              <w:fldChar w:fldCharType="begin"/>
            </w:r>
            <w:r>
              <w:rPr>
                <w:noProof/>
                <w:webHidden/>
              </w:rPr>
              <w:instrText xml:space="preserve"> PAGEREF _Toc525721427 \h </w:instrText>
            </w:r>
            <w:r>
              <w:rPr>
                <w:noProof/>
                <w:webHidden/>
              </w:rPr>
            </w:r>
            <w:r>
              <w:rPr>
                <w:noProof/>
                <w:webHidden/>
              </w:rPr>
              <w:fldChar w:fldCharType="separate"/>
            </w:r>
            <w:r>
              <w:rPr>
                <w:noProof/>
                <w:webHidden/>
              </w:rPr>
              <w:t>59</w:t>
            </w:r>
            <w:r>
              <w:rPr>
                <w:noProof/>
                <w:webHidden/>
              </w:rPr>
              <w:fldChar w:fldCharType="end"/>
            </w:r>
          </w:hyperlink>
        </w:p>
        <w:p w14:paraId="50AFF98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8" w:history="1">
            <w:r w:rsidRPr="00A62630">
              <w:rPr>
                <w:rStyle w:val="Hipervnculo"/>
                <w:rFonts w:cs="Arial"/>
                <w:noProof/>
              </w:rPr>
              <w:t>7.10. Baja en cuentas</w:t>
            </w:r>
            <w:r>
              <w:rPr>
                <w:noProof/>
                <w:webHidden/>
              </w:rPr>
              <w:tab/>
            </w:r>
            <w:r>
              <w:rPr>
                <w:noProof/>
                <w:webHidden/>
              </w:rPr>
              <w:fldChar w:fldCharType="begin"/>
            </w:r>
            <w:r>
              <w:rPr>
                <w:noProof/>
                <w:webHidden/>
              </w:rPr>
              <w:instrText xml:space="preserve"> PAGEREF _Toc525721428 \h </w:instrText>
            </w:r>
            <w:r>
              <w:rPr>
                <w:noProof/>
                <w:webHidden/>
              </w:rPr>
            </w:r>
            <w:r>
              <w:rPr>
                <w:noProof/>
                <w:webHidden/>
              </w:rPr>
              <w:fldChar w:fldCharType="separate"/>
            </w:r>
            <w:r>
              <w:rPr>
                <w:noProof/>
                <w:webHidden/>
              </w:rPr>
              <w:t>59</w:t>
            </w:r>
            <w:r>
              <w:rPr>
                <w:noProof/>
                <w:webHidden/>
              </w:rPr>
              <w:fldChar w:fldCharType="end"/>
            </w:r>
          </w:hyperlink>
        </w:p>
        <w:p w14:paraId="0A046FF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29" w:history="1">
            <w:r w:rsidRPr="00A62630">
              <w:rPr>
                <w:rStyle w:val="Hipervnculo"/>
                <w:rFonts w:cs="Arial"/>
                <w:noProof/>
              </w:rPr>
              <w:t>7.11. Revelaciones</w:t>
            </w:r>
            <w:r>
              <w:rPr>
                <w:noProof/>
                <w:webHidden/>
              </w:rPr>
              <w:tab/>
            </w:r>
            <w:r>
              <w:rPr>
                <w:noProof/>
                <w:webHidden/>
              </w:rPr>
              <w:fldChar w:fldCharType="begin"/>
            </w:r>
            <w:r>
              <w:rPr>
                <w:noProof/>
                <w:webHidden/>
              </w:rPr>
              <w:instrText xml:space="preserve"> PAGEREF _Toc525721429 \h </w:instrText>
            </w:r>
            <w:r>
              <w:rPr>
                <w:noProof/>
                <w:webHidden/>
              </w:rPr>
            </w:r>
            <w:r>
              <w:rPr>
                <w:noProof/>
                <w:webHidden/>
              </w:rPr>
              <w:fldChar w:fldCharType="separate"/>
            </w:r>
            <w:r>
              <w:rPr>
                <w:noProof/>
                <w:webHidden/>
              </w:rPr>
              <w:t>60</w:t>
            </w:r>
            <w:r>
              <w:rPr>
                <w:noProof/>
                <w:webHidden/>
              </w:rPr>
              <w:fldChar w:fldCharType="end"/>
            </w:r>
          </w:hyperlink>
        </w:p>
        <w:p w14:paraId="6747E18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0" w:history="1">
            <w:r w:rsidRPr="00A62630">
              <w:rPr>
                <w:rStyle w:val="Hipervnculo"/>
                <w:rFonts w:cs="Arial"/>
                <w:noProof/>
              </w:rPr>
              <w:t>8. DETERIORO DEL VALOR DE LOS ACTIVOS NO GENERADORES DE EFECTIVO</w:t>
            </w:r>
            <w:r>
              <w:rPr>
                <w:noProof/>
                <w:webHidden/>
              </w:rPr>
              <w:tab/>
            </w:r>
            <w:r>
              <w:rPr>
                <w:noProof/>
                <w:webHidden/>
              </w:rPr>
              <w:fldChar w:fldCharType="begin"/>
            </w:r>
            <w:r>
              <w:rPr>
                <w:noProof/>
                <w:webHidden/>
              </w:rPr>
              <w:instrText xml:space="preserve"> PAGEREF _Toc525721430 \h </w:instrText>
            </w:r>
            <w:r>
              <w:rPr>
                <w:noProof/>
                <w:webHidden/>
              </w:rPr>
            </w:r>
            <w:r>
              <w:rPr>
                <w:noProof/>
                <w:webHidden/>
              </w:rPr>
              <w:fldChar w:fldCharType="separate"/>
            </w:r>
            <w:r>
              <w:rPr>
                <w:noProof/>
                <w:webHidden/>
              </w:rPr>
              <w:t>60</w:t>
            </w:r>
            <w:r>
              <w:rPr>
                <w:noProof/>
                <w:webHidden/>
              </w:rPr>
              <w:fldChar w:fldCharType="end"/>
            </w:r>
          </w:hyperlink>
        </w:p>
        <w:p w14:paraId="4BA38B2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1" w:history="1">
            <w:r w:rsidRPr="00A62630">
              <w:rPr>
                <w:rStyle w:val="Hipervnculo"/>
                <w:rFonts w:cs="Arial"/>
                <w:noProof/>
              </w:rPr>
              <w:t>8.1. Objetivo</w:t>
            </w:r>
            <w:r>
              <w:rPr>
                <w:noProof/>
                <w:webHidden/>
              </w:rPr>
              <w:tab/>
            </w:r>
            <w:r>
              <w:rPr>
                <w:noProof/>
                <w:webHidden/>
              </w:rPr>
              <w:fldChar w:fldCharType="begin"/>
            </w:r>
            <w:r>
              <w:rPr>
                <w:noProof/>
                <w:webHidden/>
              </w:rPr>
              <w:instrText xml:space="preserve"> PAGEREF _Toc525721431 \h </w:instrText>
            </w:r>
            <w:r>
              <w:rPr>
                <w:noProof/>
                <w:webHidden/>
              </w:rPr>
            </w:r>
            <w:r>
              <w:rPr>
                <w:noProof/>
                <w:webHidden/>
              </w:rPr>
              <w:fldChar w:fldCharType="separate"/>
            </w:r>
            <w:r>
              <w:rPr>
                <w:noProof/>
                <w:webHidden/>
              </w:rPr>
              <w:t>60</w:t>
            </w:r>
            <w:r>
              <w:rPr>
                <w:noProof/>
                <w:webHidden/>
              </w:rPr>
              <w:fldChar w:fldCharType="end"/>
            </w:r>
          </w:hyperlink>
        </w:p>
        <w:p w14:paraId="5C1E16D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2" w:history="1">
            <w:r w:rsidRPr="00A62630">
              <w:rPr>
                <w:rStyle w:val="Hipervnculo"/>
                <w:rFonts w:cs="Arial"/>
                <w:noProof/>
              </w:rPr>
              <w:t>8.2. Normatividad relacionada</w:t>
            </w:r>
            <w:r>
              <w:rPr>
                <w:noProof/>
                <w:webHidden/>
              </w:rPr>
              <w:tab/>
            </w:r>
            <w:r>
              <w:rPr>
                <w:noProof/>
                <w:webHidden/>
              </w:rPr>
              <w:fldChar w:fldCharType="begin"/>
            </w:r>
            <w:r>
              <w:rPr>
                <w:noProof/>
                <w:webHidden/>
              </w:rPr>
              <w:instrText xml:space="preserve"> PAGEREF _Toc525721432 \h </w:instrText>
            </w:r>
            <w:r>
              <w:rPr>
                <w:noProof/>
                <w:webHidden/>
              </w:rPr>
            </w:r>
            <w:r>
              <w:rPr>
                <w:noProof/>
                <w:webHidden/>
              </w:rPr>
              <w:fldChar w:fldCharType="separate"/>
            </w:r>
            <w:r>
              <w:rPr>
                <w:noProof/>
                <w:webHidden/>
              </w:rPr>
              <w:t>60</w:t>
            </w:r>
            <w:r>
              <w:rPr>
                <w:noProof/>
                <w:webHidden/>
              </w:rPr>
              <w:fldChar w:fldCharType="end"/>
            </w:r>
          </w:hyperlink>
        </w:p>
        <w:p w14:paraId="095FB88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3" w:history="1">
            <w:r w:rsidRPr="00A62630">
              <w:rPr>
                <w:rStyle w:val="Hipervnculo"/>
                <w:rFonts w:cs="Arial"/>
                <w:noProof/>
              </w:rPr>
              <w:t>8.3. Alcance</w:t>
            </w:r>
            <w:r>
              <w:rPr>
                <w:noProof/>
                <w:webHidden/>
              </w:rPr>
              <w:tab/>
            </w:r>
            <w:r>
              <w:rPr>
                <w:noProof/>
                <w:webHidden/>
              </w:rPr>
              <w:fldChar w:fldCharType="begin"/>
            </w:r>
            <w:r>
              <w:rPr>
                <w:noProof/>
                <w:webHidden/>
              </w:rPr>
              <w:instrText xml:space="preserve"> PAGEREF _Toc525721433 \h </w:instrText>
            </w:r>
            <w:r>
              <w:rPr>
                <w:noProof/>
                <w:webHidden/>
              </w:rPr>
            </w:r>
            <w:r>
              <w:rPr>
                <w:noProof/>
                <w:webHidden/>
              </w:rPr>
              <w:fldChar w:fldCharType="separate"/>
            </w:r>
            <w:r>
              <w:rPr>
                <w:noProof/>
                <w:webHidden/>
              </w:rPr>
              <w:t>60</w:t>
            </w:r>
            <w:r>
              <w:rPr>
                <w:noProof/>
                <w:webHidden/>
              </w:rPr>
              <w:fldChar w:fldCharType="end"/>
            </w:r>
          </w:hyperlink>
        </w:p>
        <w:p w14:paraId="3837259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4" w:history="1">
            <w:r w:rsidRPr="00A62630">
              <w:rPr>
                <w:rStyle w:val="Hipervnculo"/>
                <w:rFonts w:cs="Arial"/>
                <w:noProof/>
              </w:rPr>
              <w:t>8.4. Política Contable General</w:t>
            </w:r>
            <w:r>
              <w:rPr>
                <w:noProof/>
                <w:webHidden/>
              </w:rPr>
              <w:tab/>
            </w:r>
            <w:r>
              <w:rPr>
                <w:noProof/>
                <w:webHidden/>
              </w:rPr>
              <w:fldChar w:fldCharType="begin"/>
            </w:r>
            <w:r>
              <w:rPr>
                <w:noProof/>
                <w:webHidden/>
              </w:rPr>
              <w:instrText xml:space="preserve"> PAGEREF _Toc525721434 \h </w:instrText>
            </w:r>
            <w:r>
              <w:rPr>
                <w:noProof/>
                <w:webHidden/>
              </w:rPr>
            </w:r>
            <w:r>
              <w:rPr>
                <w:noProof/>
                <w:webHidden/>
              </w:rPr>
              <w:fldChar w:fldCharType="separate"/>
            </w:r>
            <w:r>
              <w:rPr>
                <w:noProof/>
                <w:webHidden/>
              </w:rPr>
              <w:t>61</w:t>
            </w:r>
            <w:r>
              <w:rPr>
                <w:noProof/>
                <w:webHidden/>
              </w:rPr>
              <w:fldChar w:fldCharType="end"/>
            </w:r>
          </w:hyperlink>
        </w:p>
        <w:p w14:paraId="36AA69E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5" w:history="1">
            <w:r w:rsidRPr="00A62630">
              <w:rPr>
                <w:rStyle w:val="Hipervnculo"/>
                <w:rFonts w:cs="Arial"/>
                <w:noProof/>
                <w:lang w:eastAsia="es-CO"/>
              </w:rPr>
              <w:t xml:space="preserve">8.5. </w:t>
            </w:r>
            <w:r w:rsidRPr="00A62630">
              <w:rPr>
                <w:rStyle w:val="Hipervnculo"/>
                <w:rFonts w:cs="Arial"/>
                <w:noProof/>
              </w:rPr>
              <w:t xml:space="preserve"> Periodicidad en la comprobación del deterioro del valor</w:t>
            </w:r>
            <w:r>
              <w:rPr>
                <w:noProof/>
                <w:webHidden/>
              </w:rPr>
              <w:tab/>
            </w:r>
            <w:r>
              <w:rPr>
                <w:noProof/>
                <w:webHidden/>
              </w:rPr>
              <w:fldChar w:fldCharType="begin"/>
            </w:r>
            <w:r>
              <w:rPr>
                <w:noProof/>
                <w:webHidden/>
              </w:rPr>
              <w:instrText xml:space="preserve"> PAGEREF _Toc525721435 \h </w:instrText>
            </w:r>
            <w:r>
              <w:rPr>
                <w:noProof/>
                <w:webHidden/>
              </w:rPr>
            </w:r>
            <w:r>
              <w:rPr>
                <w:noProof/>
                <w:webHidden/>
              </w:rPr>
              <w:fldChar w:fldCharType="separate"/>
            </w:r>
            <w:r>
              <w:rPr>
                <w:noProof/>
                <w:webHidden/>
              </w:rPr>
              <w:t>61</w:t>
            </w:r>
            <w:r>
              <w:rPr>
                <w:noProof/>
                <w:webHidden/>
              </w:rPr>
              <w:fldChar w:fldCharType="end"/>
            </w:r>
          </w:hyperlink>
        </w:p>
        <w:p w14:paraId="42AC838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6" w:history="1">
            <w:r w:rsidRPr="00A62630">
              <w:rPr>
                <w:rStyle w:val="Hipervnculo"/>
                <w:rFonts w:cs="Arial"/>
                <w:noProof/>
              </w:rPr>
              <w:t>8.9. Reversión de las pérdidas por deterioro del valor</w:t>
            </w:r>
            <w:r>
              <w:rPr>
                <w:noProof/>
                <w:webHidden/>
              </w:rPr>
              <w:tab/>
            </w:r>
            <w:r>
              <w:rPr>
                <w:noProof/>
                <w:webHidden/>
              </w:rPr>
              <w:fldChar w:fldCharType="begin"/>
            </w:r>
            <w:r>
              <w:rPr>
                <w:noProof/>
                <w:webHidden/>
              </w:rPr>
              <w:instrText xml:space="preserve"> PAGEREF _Toc525721436 \h </w:instrText>
            </w:r>
            <w:r>
              <w:rPr>
                <w:noProof/>
                <w:webHidden/>
              </w:rPr>
            </w:r>
            <w:r>
              <w:rPr>
                <w:noProof/>
                <w:webHidden/>
              </w:rPr>
              <w:fldChar w:fldCharType="separate"/>
            </w:r>
            <w:r>
              <w:rPr>
                <w:noProof/>
                <w:webHidden/>
              </w:rPr>
              <w:t>65</w:t>
            </w:r>
            <w:r>
              <w:rPr>
                <w:noProof/>
                <w:webHidden/>
              </w:rPr>
              <w:fldChar w:fldCharType="end"/>
            </w:r>
          </w:hyperlink>
        </w:p>
        <w:p w14:paraId="6F3F958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7" w:history="1">
            <w:r w:rsidRPr="00A62630">
              <w:rPr>
                <w:rStyle w:val="Hipervnculo"/>
                <w:rFonts w:cs="Arial"/>
                <w:noProof/>
              </w:rPr>
              <w:t>8.10. Reconocimiento y medición de la reversión del deterioro</w:t>
            </w:r>
            <w:r>
              <w:rPr>
                <w:noProof/>
                <w:webHidden/>
              </w:rPr>
              <w:tab/>
            </w:r>
            <w:r>
              <w:rPr>
                <w:noProof/>
                <w:webHidden/>
              </w:rPr>
              <w:fldChar w:fldCharType="begin"/>
            </w:r>
            <w:r>
              <w:rPr>
                <w:noProof/>
                <w:webHidden/>
              </w:rPr>
              <w:instrText xml:space="preserve"> PAGEREF _Toc525721437 \h </w:instrText>
            </w:r>
            <w:r>
              <w:rPr>
                <w:noProof/>
                <w:webHidden/>
              </w:rPr>
            </w:r>
            <w:r>
              <w:rPr>
                <w:noProof/>
                <w:webHidden/>
              </w:rPr>
              <w:fldChar w:fldCharType="separate"/>
            </w:r>
            <w:r>
              <w:rPr>
                <w:noProof/>
                <w:webHidden/>
              </w:rPr>
              <w:t>66</w:t>
            </w:r>
            <w:r>
              <w:rPr>
                <w:noProof/>
                <w:webHidden/>
              </w:rPr>
              <w:fldChar w:fldCharType="end"/>
            </w:r>
          </w:hyperlink>
        </w:p>
        <w:p w14:paraId="75577B8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8" w:history="1">
            <w:r w:rsidRPr="00A62630">
              <w:rPr>
                <w:rStyle w:val="Hipervnculo"/>
                <w:rFonts w:cs="Arial"/>
                <w:noProof/>
              </w:rPr>
              <w:t>8.11. Revelaciones</w:t>
            </w:r>
            <w:r>
              <w:rPr>
                <w:noProof/>
                <w:webHidden/>
              </w:rPr>
              <w:tab/>
            </w:r>
            <w:r>
              <w:rPr>
                <w:noProof/>
                <w:webHidden/>
              </w:rPr>
              <w:fldChar w:fldCharType="begin"/>
            </w:r>
            <w:r>
              <w:rPr>
                <w:noProof/>
                <w:webHidden/>
              </w:rPr>
              <w:instrText xml:space="preserve"> PAGEREF _Toc525721438 \h </w:instrText>
            </w:r>
            <w:r>
              <w:rPr>
                <w:noProof/>
                <w:webHidden/>
              </w:rPr>
            </w:r>
            <w:r>
              <w:rPr>
                <w:noProof/>
                <w:webHidden/>
              </w:rPr>
              <w:fldChar w:fldCharType="separate"/>
            </w:r>
            <w:r>
              <w:rPr>
                <w:noProof/>
                <w:webHidden/>
              </w:rPr>
              <w:t>67</w:t>
            </w:r>
            <w:r>
              <w:rPr>
                <w:noProof/>
                <w:webHidden/>
              </w:rPr>
              <w:fldChar w:fldCharType="end"/>
            </w:r>
          </w:hyperlink>
        </w:p>
        <w:p w14:paraId="382B126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39" w:history="1">
            <w:r w:rsidRPr="00A62630">
              <w:rPr>
                <w:rStyle w:val="Hipervnculo"/>
                <w:rFonts w:cs="Arial"/>
                <w:noProof/>
              </w:rPr>
              <w:t>CAPITULO IV. PASIVOS</w:t>
            </w:r>
            <w:r>
              <w:rPr>
                <w:noProof/>
                <w:webHidden/>
              </w:rPr>
              <w:tab/>
            </w:r>
            <w:r>
              <w:rPr>
                <w:noProof/>
                <w:webHidden/>
              </w:rPr>
              <w:fldChar w:fldCharType="begin"/>
            </w:r>
            <w:r>
              <w:rPr>
                <w:noProof/>
                <w:webHidden/>
              </w:rPr>
              <w:instrText xml:space="preserve"> PAGEREF _Toc525721439 \h </w:instrText>
            </w:r>
            <w:r>
              <w:rPr>
                <w:noProof/>
                <w:webHidden/>
              </w:rPr>
            </w:r>
            <w:r>
              <w:rPr>
                <w:noProof/>
                <w:webHidden/>
              </w:rPr>
              <w:fldChar w:fldCharType="separate"/>
            </w:r>
            <w:r>
              <w:rPr>
                <w:noProof/>
                <w:webHidden/>
              </w:rPr>
              <w:t>67</w:t>
            </w:r>
            <w:r>
              <w:rPr>
                <w:noProof/>
                <w:webHidden/>
              </w:rPr>
              <w:fldChar w:fldCharType="end"/>
            </w:r>
          </w:hyperlink>
        </w:p>
        <w:p w14:paraId="676DFF5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0" w:history="1">
            <w:r w:rsidRPr="00A62630">
              <w:rPr>
                <w:rStyle w:val="Hipervnculo"/>
                <w:rFonts w:cs="Arial"/>
                <w:noProof/>
              </w:rPr>
              <w:t>1. POLÍTICA DE CUENTAS POR PAGAR</w:t>
            </w:r>
            <w:r>
              <w:rPr>
                <w:noProof/>
                <w:webHidden/>
              </w:rPr>
              <w:tab/>
            </w:r>
            <w:r>
              <w:rPr>
                <w:noProof/>
                <w:webHidden/>
              </w:rPr>
              <w:fldChar w:fldCharType="begin"/>
            </w:r>
            <w:r>
              <w:rPr>
                <w:noProof/>
                <w:webHidden/>
              </w:rPr>
              <w:instrText xml:space="preserve"> PAGEREF _Toc525721440 \h </w:instrText>
            </w:r>
            <w:r>
              <w:rPr>
                <w:noProof/>
                <w:webHidden/>
              </w:rPr>
            </w:r>
            <w:r>
              <w:rPr>
                <w:noProof/>
                <w:webHidden/>
              </w:rPr>
              <w:fldChar w:fldCharType="separate"/>
            </w:r>
            <w:r>
              <w:rPr>
                <w:noProof/>
                <w:webHidden/>
              </w:rPr>
              <w:t>67</w:t>
            </w:r>
            <w:r>
              <w:rPr>
                <w:noProof/>
                <w:webHidden/>
              </w:rPr>
              <w:fldChar w:fldCharType="end"/>
            </w:r>
          </w:hyperlink>
        </w:p>
        <w:p w14:paraId="01E8909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1" w:history="1">
            <w:r w:rsidRPr="00A62630">
              <w:rPr>
                <w:rStyle w:val="Hipervnculo"/>
                <w:rFonts w:cs="Arial"/>
                <w:noProof/>
              </w:rPr>
              <w:t>1.1. Objetivo</w:t>
            </w:r>
            <w:r>
              <w:rPr>
                <w:noProof/>
                <w:webHidden/>
              </w:rPr>
              <w:tab/>
            </w:r>
            <w:r>
              <w:rPr>
                <w:noProof/>
                <w:webHidden/>
              </w:rPr>
              <w:fldChar w:fldCharType="begin"/>
            </w:r>
            <w:r>
              <w:rPr>
                <w:noProof/>
                <w:webHidden/>
              </w:rPr>
              <w:instrText xml:space="preserve"> PAGEREF _Toc525721441 \h </w:instrText>
            </w:r>
            <w:r>
              <w:rPr>
                <w:noProof/>
                <w:webHidden/>
              </w:rPr>
            </w:r>
            <w:r>
              <w:rPr>
                <w:noProof/>
                <w:webHidden/>
              </w:rPr>
              <w:fldChar w:fldCharType="separate"/>
            </w:r>
            <w:r>
              <w:rPr>
                <w:noProof/>
                <w:webHidden/>
              </w:rPr>
              <w:t>67</w:t>
            </w:r>
            <w:r>
              <w:rPr>
                <w:noProof/>
                <w:webHidden/>
              </w:rPr>
              <w:fldChar w:fldCharType="end"/>
            </w:r>
          </w:hyperlink>
        </w:p>
        <w:p w14:paraId="52005D6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2" w:history="1">
            <w:r w:rsidRPr="00A62630">
              <w:rPr>
                <w:rStyle w:val="Hipervnculo"/>
                <w:rFonts w:cs="Arial"/>
                <w:noProof/>
              </w:rPr>
              <w:t>1.2. Normatividad relacionada</w:t>
            </w:r>
            <w:r>
              <w:rPr>
                <w:noProof/>
                <w:webHidden/>
              </w:rPr>
              <w:tab/>
            </w:r>
            <w:r>
              <w:rPr>
                <w:noProof/>
                <w:webHidden/>
              </w:rPr>
              <w:fldChar w:fldCharType="begin"/>
            </w:r>
            <w:r>
              <w:rPr>
                <w:noProof/>
                <w:webHidden/>
              </w:rPr>
              <w:instrText xml:space="preserve"> PAGEREF _Toc525721442 \h </w:instrText>
            </w:r>
            <w:r>
              <w:rPr>
                <w:noProof/>
                <w:webHidden/>
              </w:rPr>
            </w:r>
            <w:r>
              <w:rPr>
                <w:noProof/>
                <w:webHidden/>
              </w:rPr>
              <w:fldChar w:fldCharType="separate"/>
            </w:r>
            <w:r>
              <w:rPr>
                <w:noProof/>
                <w:webHidden/>
              </w:rPr>
              <w:t>67</w:t>
            </w:r>
            <w:r>
              <w:rPr>
                <w:noProof/>
                <w:webHidden/>
              </w:rPr>
              <w:fldChar w:fldCharType="end"/>
            </w:r>
          </w:hyperlink>
        </w:p>
        <w:p w14:paraId="730C231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3" w:history="1">
            <w:r w:rsidRPr="00A62630">
              <w:rPr>
                <w:rStyle w:val="Hipervnculo"/>
                <w:rFonts w:cs="Arial"/>
                <w:noProof/>
              </w:rPr>
              <w:t>1.3. Alcance</w:t>
            </w:r>
            <w:r>
              <w:rPr>
                <w:noProof/>
                <w:webHidden/>
              </w:rPr>
              <w:tab/>
            </w:r>
            <w:r>
              <w:rPr>
                <w:noProof/>
                <w:webHidden/>
              </w:rPr>
              <w:fldChar w:fldCharType="begin"/>
            </w:r>
            <w:r>
              <w:rPr>
                <w:noProof/>
                <w:webHidden/>
              </w:rPr>
              <w:instrText xml:space="preserve"> PAGEREF _Toc525721443 \h </w:instrText>
            </w:r>
            <w:r>
              <w:rPr>
                <w:noProof/>
                <w:webHidden/>
              </w:rPr>
            </w:r>
            <w:r>
              <w:rPr>
                <w:noProof/>
                <w:webHidden/>
              </w:rPr>
              <w:fldChar w:fldCharType="separate"/>
            </w:r>
            <w:r>
              <w:rPr>
                <w:noProof/>
                <w:webHidden/>
              </w:rPr>
              <w:t>67</w:t>
            </w:r>
            <w:r>
              <w:rPr>
                <w:noProof/>
                <w:webHidden/>
              </w:rPr>
              <w:fldChar w:fldCharType="end"/>
            </w:r>
          </w:hyperlink>
        </w:p>
        <w:p w14:paraId="33AC198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4" w:history="1">
            <w:r w:rsidRPr="00A62630">
              <w:rPr>
                <w:rStyle w:val="Hipervnculo"/>
                <w:rFonts w:cs="Arial"/>
                <w:noProof/>
              </w:rPr>
              <w:t>1.4. Política contable general</w:t>
            </w:r>
            <w:r>
              <w:rPr>
                <w:noProof/>
                <w:webHidden/>
              </w:rPr>
              <w:tab/>
            </w:r>
            <w:r>
              <w:rPr>
                <w:noProof/>
                <w:webHidden/>
              </w:rPr>
              <w:fldChar w:fldCharType="begin"/>
            </w:r>
            <w:r>
              <w:rPr>
                <w:noProof/>
                <w:webHidden/>
              </w:rPr>
              <w:instrText xml:space="preserve"> PAGEREF _Toc525721444 \h </w:instrText>
            </w:r>
            <w:r>
              <w:rPr>
                <w:noProof/>
                <w:webHidden/>
              </w:rPr>
            </w:r>
            <w:r>
              <w:rPr>
                <w:noProof/>
                <w:webHidden/>
              </w:rPr>
              <w:fldChar w:fldCharType="separate"/>
            </w:r>
            <w:r>
              <w:rPr>
                <w:noProof/>
                <w:webHidden/>
              </w:rPr>
              <w:t>68</w:t>
            </w:r>
            <w:r>
              <w:rPr>
                <w:noProof/>
                <w:webHidden/>
              </w:rPr>
              <w:fldChar w:fldCharType="end"/>
            </w:r>
          </w:hyperlink>
        </w:p>
        <w:p w14:paraId="6C5D268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5" w:history="1">
            <w:r w:rsidRPr="00A62630">
              <w:rPr>
                <w:rStyle w:val="Hipervnculo"/>
                <w:rFonts w:cs="Arial"/>
                <w:noProof/>
              </w:rPr>
              <w:t>1.5. Reconocimiento</w:t>
            </w:r>
            <w:r>
              <w:rPr>
                <w:noProof/>
                <w:webHidden/>
              </w:rPr>
              <w:tab/>
            </w:r>
            <w:r>
              <w:rPr>
                <w:noProof/>
                <w:webHidden/>
              </w:rPr>
              <w:fldChar w:fldCharType="begin"/>
            </w:r>
            <w:r>
              <w:rPr>
                <w:noProof/>
                <w:webHidden/>
              </w:rPr>
              <w:instrText xml:space="preserve"> PAGEREF _Toc525721445 \h </w:instrText>
            </w:r>
            <w:r>
              <w:rPr>
                <w:noProof/>
                <w:webHidden/>
              </w:rPr>
            </w:r>
            <w:r>
              <w:rPr>
                <w:noProof/>
                <w:webHidden/>
              </w:rPr>
              <w:fldChar w:fldCharType="separate"/>
            </w:r>
            <w:r>
              <w:rPr>
                <w:noProof/>
                <w:webHidden/>
              </w:rPr>
              <w:t>68</w:t>
            </w:r>
            <w:r>
              <w:rPr>
                <w:noProof/>
                <w:webHidden/>
              </w:rPr>
              <w:fldChar w:fldCharType="end"/>
            </w:r>
          </w:hyperlink>
        </w:p>
        <w:p w14:paraId="4C9C60B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6" w:history="1">
            <w:r w:rsidRPr="00A62630">
              <w:rPr>
                <w:rStyle w:val="Hipervnculo"/>
                <w:rFonts w:cs="Arial"/>
                <w:noProof/>
              </w:rPr>
              <w:t>1.6. Clasificación</w:t>
            </w:r>
            <w:r>
              <w:rPr>
                <w:noProof/>
                <w:webHidden/>
              </w:rPr>
              <w:tab/>
            </w:r>
            <w:r>
              <w:rPr>
                <w:noProof/>
                <w:webHidden/>
              </w:rPr>
              <w:fldChar w:fldCharType="begin"/>
            </w:r>
            <w:r>
              <w:rPr>
                <w:noProof/>
                <w:webHidden/>
              </w:rPr>
              <w:instrText xml:space="preserve"> PAGEREF _Toc525721446 \h </w:instrText>
            </w:r>
            <w:r>
              <w:rPr>
                <w:noProof/>
                <w:webHidden/>
              </w:rPr>
            </w:r>
            <w:r>
              <w:rPr>
                <w:noProof/>
                <w:webHidden/>
              </w:rPr>
              <w:fldChar w:fldCharType="separate"/>
            </w:r>
            <w:r>
              <w:rPr>
                <w:noProof/>
                <w:webHidden/>
              </w:rPr>
              <w:t>68</w:t>
            </w:r>
            <w:r>
              <w:rPr>
                <w:noProof/>
                <w:webHidden/>
              </w:rPr>
              <w:fldChar w:fldCharType="end"/>
            </w:r>
          </w:hyperlink>
        </w:p>
        <w:p w14:paraId="263610C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7" w:history="1">
            <w:r w:rsidRPr="00A62630">
              <w:rPr>
                <w:rStyle w:val="Hipervnculo"/>
                <w:rFonts w:cs="Arial"/>
                <w:noProof/>
              </w:rPr>
              <w:t>1.7. Medición inicial</w:t>
            </w:r>
            <w:r>
              <w:rPr>
                <w:noProof/>
                <w:webHidden/>
              </w:rPr>
              <w:tab/>
            </w:r>
            <w:r>
              <w:rPr>
                <w:noProof/>
                <w:webHidden/>
              </w:rPr>
              <w:fldChar w:fldCharType="begin"/>
            </w:r>
            <w:r>
              <w:rPr>
                <w:noProof/>
                <w:webHidden/>
              </w:rPr>
              <w:instrText xml:space="preserve"> PAGEREF _Toc525721447 \h </w:instrText>
            </w:r>
            <w:r>
              <w:rPr>
                <w:noProof/>
                <w:webHidden/>
              </w:rPr>
            </w:r>
            <w:r>
              <w:rPr>
                <w:noProof/>
                <w:webHidden/>
              </w:rPr>
              <w:fldChar w:fldCharType="separate"/>
            </w:r>
            <w:r>
              <w:rPr>
                <w:noProof/>
                <w:webHidden/>
              </w:rPr>
              <w:t>68</w:t>
            </w:r>
            <w:r>
              <w:rPr>
                <w:noProof/>
                <w:webHidden/>
              </w:rPr>
              <w:fldChar w:fldCharType="end"/>
            </w:r>
          </w:hyperlink>
        </w:p>
        <w:p w14:paraId="032EC87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8" w:history="1">
            <w:r w:rsidRPr="00A62630">
              <w:rPr>
                <w:rStyle w:val="Hipervnculo"/>
                <w:rFonts w:cs="Arial"/>
                <w:noProof/>
              </w:rPr>
              <w:t>1.8. Medición posterior</w:t>
            </w:r>
            <w:r>
              <w:rPr>
                <w:noProof/>
                <w:webHidden/>
              </w:rPr>
              <w:tab/>
            </w:r>
            <w:r>
              <w:rPr>
                <w:noProof/>
                <w:webHidden/>
              </w:rPr>
              <w:fldChar w:fldCharType="begin"/>
            </w:r>
            <w:r>
              <w:rPr>
                <w:noProof/>
                <w:webHidden/>
              </w:rPr>
              <w:instrText xml:space="preserve"> PAGEREF _Toc525721448 \h </w:instrText>
            </w:r>
            <w:r>
              <w:rPr>
                <w:noProof/>
                <w:webHidden/>
              </w:rPr>
            </w:r>
            <w:r>
              <w:rPr>
                <w:noProof/>
                <w:webHidden/>
              </w:rPr>
              <w:fldChar w:fldCharType="separate"/>
            </w:r>
            <w:r>
              <w:rPr>
                <w:noProof/>
                <w:webHidden/>
              </w:rPr>
              <w:t>68</w:t>
            </w:r>
            <w:r>
              <w:rPr>
                <w:noProof/>
                <w:webHidden/>
              </w:rPr>
              <w:fldChar w:fldCharType="end"/>
            </w:r>
          </w:hyperlink>
        </w:p>
        <w:p w14:paraId="34CE123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49" w:history="1">
            <w:r w:rsidRPr="00A62630">
              <w:rPr>
                <w:rStyle w:val="Hipervnculo"/>
                <w:rFonts w:cs="Arial"/>
                <w:noProof/>
              </w:rPr>
              <w:t>1.9. Gestión de riesgo</w:t>
            </w:r>
            <w:r>
              <w:rPr>
                <w:noProof/>
                <w:webHidden/>
              </w:rPr>
              <w:tab/>
            </w:r>
            <w:r>
              <w:rPr>
                <w:noProof/>
                <w:webHidden/>
              </w:rPr>
              <w:fldChar w:fldCharType="begin"/>
            </w:r>
            <w:r>
              <w:rPr>
                <w:noProof/>
                <w:webHidden/>
              </w:rPr>
              <w:instrText xml:space="preserve"> PAGEREF _Toc525721449 \h </w:instrText>
            </w:r>
            <w:r>
              <w:rPr>
                <w:noProof/>
                <w:webHidden/>
              </w:rPr>
            </w:r>
            <w:r>
              <w:rPr>
                <w:noProof/>
                <w:webHidden/>
              </w:rPr>
              <w:fldChar w:fldCharType="separate"/>
            </w:r>
            <w:r>
              <w:rPr>
                <w:noProof/>
                <w:webHidden/>
              </w:rPr>
              <w:t>68</w:t>
            </w:r>
            <w:r>
              <w:rPr>
                <w:noProof/>
                <w:webHidden/>
              </w:rPr>
              <w:fldChar w:fldCharType="end"/>
            </w:r>
          </w:hyperlink>
        </w:p>
        <w:p w14:paraId="609E9C2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0" w:history="1">
            <w:r w:rsidRPr="00A62630">
              <w:rPr>
                <w:rStyle w:val="Hipervnculo"/>
                <w:rFonts w:cs="Arial"/>
                <w:noProof/>
              </w:rPr>
              <w:t>1.10. Controles contables</w:t>
            </w:r>
            <w:r>
              <w:rPr>
                <w:noProof/>
                <w:webHidden/>
              </w:rPr>
              <w:tab/>
            </w:r>
            <w:r>
              <w:rPr>
                <w:noProof/>
                <w:webHidden/>
              </w:rPr>
              <w:fldChar w:fldCharType="begin"/>
            </w:r>
            <w:r>
              <w:rPr>
                <w:noProof/>
                <w:webHidden/>
              </w:rPr>
              <w:instrText xml:space="preserve"> PAGEREF _Toc525721450 \h </w:instrText>
            </w:r>
            <w:r>
              <w:rPr>
                <w:noProof/>
                <w:webHidden/>
              </w:rPr>
            </w:r>
            <w:r>
              <w:rPr>
                <w:noProof/>
                <w:webHidden/>
              </w:rPr>
              <w:fldChar w:fldCharType="separate"/>
            </w:r>
            <w:r>
              <w:rPr>
                <w:noProof/>
                <w:webHidden/>
              </w:rPr>
              <w:t>69</w:t>
            </w:r>
            <w:r>
              <w:rPr>
                <w:noProof/>
                <w:webHidden/>
              </w:rPr>
              <w:fldChar w:fldCharType="end"/>
            </w:r>
          </w:hyperlink>
        </w:p>
        <w:p w14:paraId="3FD98DE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1" w:history="1">
            <w:r w:rsidRPr="00A62630">
              <w:rPr>
                <w:rStyle w:val="Hipervnculo"/>
                <w:rFonts w:cs="Arial"/>
                <w:noProof/>
              </w:rPr>
              <w:t>1.11. Baja en cuentas</w:t>
            </w:r>
            <w:r>
              <w:rPr>
                <w:noProof/>
                <w:webHidden/>
              </w:rPr>
              <w:tab/>
            </w:r>
            <w:r>
              <w:rPr>
                <w:noProof/>
                <w:webHidden/>
              </w:rPr>
              <w:fldChar w:fldCharType="begin"/>
            </w:r>
            <w:r>
              <w:rPr>
                <w:noProof/>
                <w:webHidden/>
              </w:rPr>
              <w:instrText xml:space="preserve"> PAGEREF _Toc525721451 \h </w:instrText>
            </w:r>
            <w:r>
              <w:rPr>
                <w:noProof/>
                <w:webHidden/>
              </w:rPr>
            </w:r>
            <w:r>
              <w:rPr>
                <w:noProof/>
                <w:webHidden/>
              </w:rPr>
              <w:fldChar w:fldCharType="separate"/>
            </w:r>
            <w:r>
              <w:rPr>
                <w:noProof/>
                <w:webHidden/>
              </w:rPr>
              <w:t>69</w:t>
            </w:r>
            <w:r>
              <w:rPr>
                <w:noProof/>
                <w:webHidden/>
              </w:rPr>
              <w:fldChar w:fldCharType="end"/>
            </w:r>
          </w:hyperlink>
        </w:p>
        <w:p w14:paraId="182511C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2" w:history="1">
            <w:r w:rsidRPr="00A62630">
              <w:rPr>
                <w:rStyle w:val="Hipervnculo"/>
                <w:rFonts w:cs="Arial"/>
                <w:noProof/>
              </w:rPr>
              <w:t>1.12. Revelaciones</w:t>
            </w:r>
            <w:r>
              <w:rPr>
                <w:noProof/>
                <w:webHidden/>
              </w:rPr>
              <w:tab/>
            </w:r>
            <w:r>
              <w:rPr>
                <w:noProof/>
                <w:webHidden/>
              </w:rPr>
              <w:fldChar w:fldCharType="begin"/>
            </w:r>
            <w:r>
              <w:rPr>
                <w:noProof/>
                <w:webHidden/>
              </w:rPr>
              <w:instrText xml:space="preserve"> PAGEREF _Toc525721452 \h </w:instrText>
            </w:r>
            <w:r>
              <w:rPr>
                <w:noProof/>
                <w:webHidden/>
              </w:rPr>
            </w:r>
            <w:r>
              <w:rPr>
                <w:noProof/>
                <w:webHidden/>
              </w:rPr>
              <w:fldChar w:fldCharType="separate"/>
            </w:r>
            <w:r>
              <w:rPr>
                <w:noProof/>
                <w:webHidden/>
              </w:rPr>
              <w:t>69</w:t>
            </w:r>
            <w:r>
              <w:rPr>
                <w:noProof/>
                <w:webHidden/>
              </w:rPr>
              <w:fldChar w:fldCharType="end"/>
            </w:r>
          </w:hyperlink>
        </w:p>
        <w:p w14:paraId="6127269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3" w:history="1">
            <w:r w:rsidRPr="00A62630">
              <w:rPr>
                <w:rStyle w:val="Hipervnculo"/>
                <w:rFonts w:cs="Arial"/>
                <w:noProof/>
              </w:rPr>
              <w:t>2. POLITICA DE BENEFICIOS A LOS EMPLEADOS</w:t>
            </w:r>
            <w:r>
              <w:rPr>
                <w:noProof/>
                <w:webHidden/>
              </w:rPr>
              <w:tab/>
            </w:r>
            <w:r>
              <w:rPr>
                <w:noProof/>
                <w:webHidden/>
              </w:rPr>
              <w:fldChar w:fldCharType="begin"/>
            </w:r>
            <w:r>
              <w:rPr>
                <w:noProof/>
                <w:webHidden/>
              </w:rPr>
              <w:instrText xml:space="preserve"> PAGEREF _Toc525721453 \h </w:instrText>
            </w:r>
            <w:r>
              <w:rPr>
                <w:noProof/>
                <w:webHidden/>
              </w:rPr>
            </w:r>
            <w:r>
              <w:rPr>
                <w:noProof/>
                <w:webHidden/>
              </w:rPr>
              <w:fldChar w:fldCharType="separate"/>
            </w:r>
            <w:r>
              <w:rPr>
                <w:noProof/>
                <w:webHidden/>
              </w:rPr>
              <w:t>69</w:t>
            </w:r>
            <w:r>
              <w:rPr>
                <w:noProof/>
                <w:webHidden/>
              </w:rPr>
              <w:fldChar w:fldCharType="end"/>
            </w:r>
          </w:hyperlink>
        </w:p>
        <w:p w14:paraId="35FFD33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4" w:history="1">
            <w:r w:rsidRPr="00A62630">
              <w:rPr>
                <w:rStyle w:val="Hipervnculo"/>
                <w:rFonts w:cs="Arial"/>
                <w:noProof/>
              </w:rPr>
              <w:t>2.1. Objetivo</w:t>
            </w:r>
            <w:r>
              <w:rPr>
                <w:noProof/>
                <w:webHidden/>
              </w:rPr>
              <w:tab/>
            </w:r>
            <w:r>
              <w:rPr>
                <w:noProof/>
                <w:webHidden/>
              </w:rPr>
              <w:fldChar w:fldCharType="begin"/>
            </w:r>
            <w:r>
              <w:rPr>
                <w:noProof/>
                <w:webHidden/>
              </w:rPr>
              <w:instrText xml:space="preserve"> PAGEREF _Toc525721454 \h </w:instrText>
            </w:r>
            <w:r>
              <w:rPr>
                <w:noProof/>
                <w:webHidden/>
              </w:rPr>
            </w:r>
            <w:r>
              <w:rPr>
                <w:noProof/>
                <w:webHidden/>
              </w:rPr>
              <w:fldChar w:fldCharType="separate"/>
            </w:r>
            <w:r>
              <w:rPr>
                <w:noProof/>
                <w:webHidden/>
              </w:rPr>
              <w:t>69</w:t>
            </w:r>
            <w:r>
              <w:rPr>
                <w:noProof/>
                <w:webHidden/>
              </w:rPr>
              <w:fldChar w:fldCharType="end"/>
            </w:r>
          </w:hyperlink>
        </w:p>
        <w:p w14:paraId="3256711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5" w:history="1">
            <w:r w:rsidRPr="00A62630">
              <w:rPr>
                <w:rStyle w:val="Hipervnculo"/>
                <w:rFonts w:cs="Arial"/>
                <w:noProof/>
              </w:rPr>
              <w:t>2.2. Normatividad relacionada</w:t>
            </w:r>
            <w:r>
              <w:rPr>
                <w:noProof/>
                <w:webHidden/>
              </w:rPr>
              <w:tab/>
            </w:r>
            <w:r>
              <w:rPr>
                <w:noProof/>
                <w:webHidden/>
              </w:rPr>
              <w:fldChar w:fldCharType="begin"/>
            </w:r>
            <w:r>
              <w:rPr>
                <w:noProof/>
                <w:webHidden/>
              </w:rPr>
              <w:instrText xml:space="preserve"> PAGEREF _Toc525721455 \h </w:instrText>
            </w:r>
            <w:r>
              <w:rPr>
                <w:noProof/>
                <w:webHidden/>
              </w:rPr>
            </w:r>
            <w:r>
              <w:rPr>
                <w:noProof/>
                <w:webHidden/>
              </w:rPr>
              <w:fldChar w:fldCharType="separate"/>
            </w:r>
            <w:r>
              <w:rPr>
                <w:noProof/>
                <w:webHidden/>
              </w:rPr>
              <w:t>70</w:t>
            </w:r>
            <w:r>
              <w:rPr>
                <w:noProof/>
                <w:webHidden/>
              </w:rPr>
              <w:fldChar w:fldCharType="end"/>
            </w:r>
          </w:hyperlink>
        </w:p>
        <w:p w14:paraId="393E7613"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6" w:history="1">
            <w:r w:rsidRPr="00A62630">
              <w:rPr>
                <w:rStyle w:val="Hipervnculo"/>
                <w:rFonts w:cs="Arial"/>
                <w:noProof/>
              </w:rPr>
              <w:t>2.3. Alcance</w:t>
            </w:r>
            <w:r>
              <w:rPr>
                <w:noProof/>
                <w:webHidden/>
              </w:rPr>
              <w:tab/>
            </w:r>
            <w:r>
              <w:rPr>
                <w:noProof/>
                <w:webHidden/>
              </w:rPr>
              <w:fldChar w:fldCharType="begin"/>
            </w:r>
            <w:r>
              <w:rPr>
                <w:noProof/>
                <w:webHidden/>
              </w:rPr>
              <w:instrText xml:space="preserve"> PAGEREF _Toc525721456 \h </w:instrText>
            </w:r>
            <w:r>
              <w:rPr>
                <w:noProof/>
                <w:webHidden/>
              </w:rPr>
            </w:r>
            <w:r>
              <w:rPr>
                <w:noProof/>
                <w:webHidden/>
              </w:rPr>
              <w:fldChar w:fldCharType="separate"/>
            </w:r>
            <w:r>
              <w:rPr>
                <w:noProof/>
                <w:webHidden/>
              </w:rPr>
              <w:t>70</w:t>
            </w:r>
            <w:r>
              <w:rPr>
                <w:noProof/>
                <w:webHidden/>
              </w:rPr>
              <w:fldChar w:fldCharType="end"/>
            </w:r>
          </w:hyperlink>
        </w:p>
        <w:p w14:paraId="2C44792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7" w:history="1">
            <w:r w:rsidRPr="00A62630">
              <w:rPr>
                <w:rStyle w:val="Hipervnculo"/>
                <w:rFonts w:cs="Arial"/>
                <w:noProof/>
              </w:rPr>
              <w:t>2.4. Política contable general</w:t>
            </w:r>
            <w:r>
              <w:rPr>
                <w:noProof/>
                <w:webHidden/>
              </w:rPr>
              <w:tab/>
            </w:r>
            <w:r>
              <w:rPr>
                <w:noProof/>
                <w:webHidden/>
              </w:rPr>
              <w:fldChar w:fldCharType="begin"/>
            </w:r>
            <w:r>
              <w:rPr>
                <w:noProof/>
                <w:webHidden/>
              </w:rPr>
              <w:instrText xml:space="preserve"> PAGEREF _Toc525721457 \h </w:instrText>
            </w:r>
            <w:r>
              <w:rPr>
                <w:noProof/>
                <w:webHidden/>
              </w:rPr>
            </w:r>
            <w:r>
              <w:rPr>
                <w:noProof/>
                <w:webHidden/>
              </w:rPr>
              <w:fldChar w:fldCharType="separate"/>
            </w:r>
            <w:r>
              <w:rPr>
                <w:noProof/>
                <w:webHidden/>
              </w:rPr>
              <w:t>70</w:t>
            </w:r>
            <w:r>
              <w:rPr>
                <w:noProof/>
                <w:webHidden/>
              </w:rPr>
              <w:fldChar w:fldCharType="end"/>
            </w:r>
          </w:hyperlink>
        </w:p>
        <w:p w14:paraId="59E8236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8" w:history="1">
            <w:r w:rsidRPr="00A62630">
              <w:rPr>
                <w:rStyle w:val="Hipervnculo"/>
                <w:rFonts w:cs="Arial"/>
                <w:noProof/>
              </w:rPr>
              <w:t>2.5. Reconocimiento</w:t>
            </w:r>
            <w:r>
              <w:rPr>
                <w:noProof/>
                <w:webHidden/>
              </w:rPr>
              <w:tab/>
            </w:r>
            <w:r>
              <w:rPr>
                <w:noProof/>
                <w:webHidden/>
              </w:rPr>
              <w:fldChar w:fldCharType="begin"/>
            </w:r>
            <w:r>
              <w:rPr>
                <w:noProof/>
                <w:webHidden/>
              </w:rPr>
              <w:instrText xml:space="preserve"> PAGEREF _Toc525721458 \h </w:instrText>
            </w:r>
            <w:r>
              <w:rPr>
                <w:noProof/>
                <w:webHidden/>
              </w:rPr>
            </w:r>
            <w:r>
              <w:rPr>
                <w:noProof/>
                <w:webHidden/>
              </w:rPr>
              <w:fldChar w:fldCharType="separate"/>
            </w:r>
            <w:r>
              <w:rPr>
                <w:noProof/>
                <w:webHidden/>
              </w:rPr>
              <w:t>70</w:t>
            </w:r>
            <w:r>
              <w:rPr>
                <w:noProof/>
                <w:webHidden/>
              </w:rPr>
              <w:fldChar w:fldCharType="end"/>
            </w:r>
          </w:hyperlink>
        </w:p>
        <w:p w14:paraId="39A42C7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59" w:history="1">
            <w:r w:rsidRPr="00A62630">
              <w:rPr>
                <w:rStyle w:val="Hipervnculo"/>
                <w:rFonts w:cs="Arial"/>
                <w:noProof/>
              </w:rPr>
              <w:t>2.6. Medición</w:t>
            </w:r>
            <w:r>
              <w:rPr>
                <w:noProof/>
                <w:webHidden/>
              </w:rPr>
              <w:tab/>
            </w:r>
            <w:r>
              <w:rPr>
                <w:noProof/>
                <w:webHidden/>
              </w:rPr>
              <w:fldChar w:fldCharType="begin"/>
            </w:r>
            <w:r>
              <w:rPr>
                <w:noProof/>
                <w:webHidden/>
              </w:rPr>
              <w:instrText xml:space="preserve"> PAGEREF _Toc525721459 \h </w:instrText>
            </w:r>
            <w:r>
              <w:rPr>
                <w:noProof/>
                <w:webHidden/>
              </w:rPr>
            </w:r>
            <w:r>
              <w:rPr>
                <w:noProof/>
                <w:webHidden/>
              </w:rPr>
              <w:fldChar w:fldCharType="separate"/>
            </w:r>
            <w:r>
              <w:rPr>
                <w:noProof/>
                <w:webHidden/>
              </w:rPr>
              <w:t>71</w:t>
            </w:r>
            <w:r>
              <w:rPr>
                <w:noProof/>
                <w:webHidden/>
              </w:rPr>
              <w:fldChar w:fldCharType="end"/>
            </w:r>
          </w:hyperlink>
        </w:p>
        <w:p w14:paraId="6A4BCF7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0" w:history="1">
            <w:r w:rsidRPr="00A62630">
              <w:rPr>
                <w:rStyle w:val="Hipervnculo"/>
                <w:rFonts w:cs="Arial"/>
                <w:noProof/>
              </w:rPr>
              <w:t>2.7. Gestión de riesgo</w:t>
            </w:r>
            <w:r>
              <w:rPr>
                <w:noProof/>
                <w:webHidden/>
              </w:rPr>
              <w:tab/>
            </w:r>
            <w:r>
              <w:rPr>
                <w:noProof/>
                <w:webHidden/>
              </w:rPr>
              <w:fldChar w:fldCharType="begin"/>
            </w:r>
            <w:r>
              <w:rPr>
                <w:noProof/>
                <w:webHidden/>
              </w:rPr>
              <w:instrText xml:space="preserve"> PAGEREF _Toc525721460 \h </w:instrText>
            </w:r>
            <w:r>
              <w:rPr>
                <w:noProof/>
                <w:webHidden/>
              </w:rPr>
            </w:r>
            <w:r>
              <w:rPr>
                <w:noProof/>
                <w:webHidden/>
              </w:rPr>
              <w:fldChar w:fldCharType="separate"/>
            </w:r>
            <w:r>
              <w:rPr>
                <w:noProof/>
                <w:webHidden/>
              </w:rPr>
              <w:t>71</w:t>
            </w:r>
            <w:r>
              <w:rPr>
                <w:noProof/>
                <w:webHidden/>
              </w:rPr>
              <w:fldChar w:fldCharType="end"/>
            </w:r>
          </w:hyperlink>
        </w:p>
        <w:p w14:paraId="7961EA9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1" w:history="1">
            <w:r w:rsidRPr="00A62630">
              <w:rPr>
                <w:rStyle w:val="Hipervnculo"/>
                <w:rFonts w:cs="Arial"/>
                <w:noProof/>
              </w:rPr>
              <w:t>2.8. Controles contables</w:t>
            </w:r>
            <w:r>
              <w:rPr>
                <w:noProof/>
                <w:webHidden/>
              </w:rPr>
              <w:tab/>
            </w:r>
            <w:r>
              <w:rPr>
                <w:noProof/>
                <w:webHidden/>
              </w:rPr>
              <w:fldChar w:fldCharType="begin"/>
            </w:r>
            <w:r>
              <w:rPr>
                <w:noProof/>
                <w:webHidden/>
              </w:rPr>
              <w:instrText xml:space="preserve"> PAGEREF _Toc525721461 \h </w:instrText>
            </w:r>
            <w:r>
              <w:rPr>
                <w:noProof/>
                <w:webHidden/>
              </w:rPr>
            </w:r>
            <w:r>
              <w:rPr>
                <w:noProof/>
                <w:webHidden/>
              </w:rPr>
              <w:fldChar w:fldCharType="separate"/>
            </w:r>
            <w:r>
              <w:rPr>
                <w:noProof/>
                <w:webHidden/>
              </w:rPr>
              <w:t>71</w:t>
            </w:r>
            <w:r>
              <w:rPr>
                <w:noProof/>
                <w:webHidden/>
              </w:rPr>
              <w:fldChar w:fldCharType="end"/>
            </w:r>
          </w:hyperlink>
        </w:p>
        <w:p w14:paraId="3C71296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2" w:history="1">
            <w:r w:rsidRPr="00A62630">
              <w:rPr>
                <w:rStyle w:val="Hipervnculo"/>
                <w:rFonts w:cs="Arial"/>
                <w:noProof/>
              </w:rPr>
              <w:t>2.9. Revelaciones</w:t>
            </w:r>
            <w:r>
              <w:rPr>
                <w:noProof/>
                <w:webHidden/>
              </w:rPr>
              <w:tab/>
            </w:r>
            <w:r>
              <w:rPr>
                <w:noProof/>
                <w:webHidden/>
              </w:rPr>
              <w:fldChar w:fldCharType="begin"/>
            </w:r>
            <w:r>
              <w:rPr>
                <w:noProof/>
                <w:webHidden/>
              </w:rPr>
              <w:instrText xml:space="preserve"> PAGEREF _Toc525721462 \h </w:instrText>
            </w:r>
            <w:r>
              <w:rPr>
                <w:noProof/>
                <w:webHidden/>
              </w:rPr>
            </w:r>
            <w:r>
              <w:rPr>
                <w:noProof/>
                <w:webHidden/>
              </w:rPr>
              <w:fldChar w:fldCharType="separate"/>
            </w:r>
            <w:r>
              <w:rPr>
                <w:noProof/>
                <w:webHidden/>
              </w:rPr>
              <w:t>71</w:t>
            </w:r>
            <w:r>
              <w:rPr>
                <w:noProof/>
                <w:webHidden/>
              </w:rPr>
              <w:fldChar w:fldCharType="end"/>
            </w:r>
          </w:hyperlink>
        </w:p>
        <w:p w14:paraId="5C4D1A3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3" w:history="1">
            <w:r w:rsidRPr="00A62630">
              <w:rPr>
                <w:rStyle w:val="Hipervnculo"/>
                <w:rFonts w:cs="Arial"/>
                <w:noProof/>
              </w:rPr>
              <w:t>3. PROVISIONES</w:t>
            </w:r>
            <w:r>
              <w:rPr>
                <w:noProof/>
                <w:webHidden/>
              </w:rPr>
              <w:tab/>
            </w:r>
            <w:r>
              <w:rPr>
                <w:noProof/>
                <w:webHidden/>
              </w:rPr>
              <w:fldChar w:fldCharType="begin"/>
            </w:r>
            <w:r>
              <w:rPr>
                <w:noProof/>
                <w:webHidden/>
              </w:rPr>
              <w:instrText xml:space="preserve"> PAGEREF _Toc525721463 \h </w:instrText>
            </w:r>
            <w:r>
              <w:rPr>
                <w:noProof/>
                <w:webHidden/>
              </w:rPr>
            </w:r>
            <w:r>
              <w:rPr>
                <w:noProof/>
                <w:webHidden/>
              </w:rPr>
              <w:fldChar w:fldCharType="separate"/>
            </w:r>
            <w:r>
              <w:rPr>
                <w:noProof/>
                <w:webHidden/>
              </w:rPr>
              <w:t>71</w:t>
            </w:r>
            <w:r>
              <w:rPr>
                <w:noProof/>
                <w:webHidden/>
              </w:rPr>
              <w:fldChar w:fldCharType="end"/>
            </w:r>
          </w:hyperlink>
        </w:p>
        <w:p w14:paraId="14F3C81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4" w:history="1">
            <w:r w:rsidRPr="00A62630">
              <w:rPr>
                <w:rStyle w:val="Hipervnculo"/>
                <w:rFonts w:cs="Arial"/>
                <w:noProof/>
              </w:rPr>
              <w:t>3.1. Objetivo</w:t>
            </w:r>
            <w:r>
              <w:rPr>
                <w:noProof/>
                <w:webHidden/>
              </w:rPr>
              <w:tab/>
            </w:r>
            <w:r>
              <w:rPr>
                <w:noProof/>
                <w:webHidden/>
              </w:rPr>
              <w:fldChar w:fldCharType="begin"/>
            </w:r>
            <w:r>
              <w:rPr>
                <w:noProof/>
                <w:webHidden/>
              </w:rPr>
              <w:instrText xml:space="preserve"> PAGEREF _Toc525721464 \h </w:instrText>
            </w:r>
            <w:r>
              <w:rPr>
                <w:noProof/>
                <w:webHidden/>
              </w:rPr>
            </w:r>
            <w:r>
              <w:rPr>
                <w:noProof/>
                <w:webHidden/>
              </w:rPr>
              <w:fldChar w:fldCharType="separate"/>
            </w:r>
            <w:r>
              <w:rPr>
                <w:noProof/>
                <w:webHidden/>
              </w:rPr>
              <w:t>71</w:t>
            </w:r>
            <w:r>
              <w:rPr>
                <w:noProof/>
                <w:webHidden/>
              </w:rPr>
              <w:fldChar w:fldCharType="end"/>
            </w:r>
          </w:hyperlink>
        </w:p>
        <w:p w14:paraId="674FC37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5" w:history="1">
            <w:r w:rsidRPr="00A62630">
              <w:rPr>
                <w:rStyle w:val="Hipervnculo"/>
                <w:rFonts w:cs="Arial"/>
                <w:noProof/>
              </w:rPr>
              <w:t>3.2. Normatividad relacionada</w:t>
            </w:r>
            <w:r>
              <w:rPr>
                <w:noProof/>
                <w:webHidden/>
              </w:rPr>
              <w:tab/>
            </w:r>
            <w:r>
              <w:rPr>
                <w:noProof/>
                <w:webHidden/>
              </w:rPr>
              <w:fldChar w:fldCharType="begin"/>
            </w:r>
            <w:r>
              <w:rPr>
                <w:noProof/>
                <w:webHidden/>
              </w:rPr>
              <w:instrText xml:space="preserve"> PAGEREF _Toc525721465 \h </w:instrText>
            </w:r>
            <w:r>
              <w:rPr>
                <w:noProof/>
                <w:webHidden/>
              </w:rPr>
            </w:r>
            <w:r>
              <w:rPr>
                <w:noProof/>
                <w:webHidden/>
              </w:rPr>
              <w:fldChar w:fldCharType="separate"/>
            </w:r>
            <w:r>
              <w:rPr>
                <w:noProof/>
                <w:webHidden/>
              </w:rPr>
              <w:t>72</w:t>
            </w:r>
            <w:r>
              <w:rPr>
                <w:noProof/>
                <w:webHidden/>
              </w:rPr>
              <w:fldChar w:fldCharType="end"/>
            </w:r>
          </w:hyperlink>
        </w:p>
        <w:p w14:paraId="7A0B87E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6" w:history="1">
            <w:r w:rsidRPr="00A62630">
              <w:rPr>
                <w:rStyle w:val="Hipervnculo"/>
                <w:rFonts w:cs="Arial"/>
                <w:noProof/>
              </w:rPr>
              <w:t>3.3. Alcance</w:t>
            </w:r>
            <w:r>
              <w:rPr>
                <w:noProof/>
                <w:webHidden/>
              </w:rPr>
              <w:tab/>
            </w:r>
            <w:r>
              <w:rPr>
                <w:noProof/>
                <w:webHidden/>
              </w:rPr>
              <w:fldChar w:fldCharType="begin"/>
            </w:r>
            <w:r>
              <w:rPr>
                <w:noProof/>
                <w:webHidden/>
              </w:rPr>
              <w:instrText xml:space="preserve"> PAGEREF _Toc525721466 \h </w:instrText>
            </w:r>
            <w:r>
              <w:rPr>
                <w:noProof/>
                <w:webHidden/>
              </w:rPr>
            </w:r>
            <w:r>
              <w:rPr>
                <w:noProof/>
                <w:webHidden/>
              </w:rPr>
              <w:fldChar w:fldCharType="separate"/>
            </w:r>
            <w:r>
              <w:rPr>
                <w:noProof/>
                <w:webHidden/>
              </w:rPr>
              <w:t>72</w:t>
            </w:r>
            <w:r>
              <w:rPr>
                <w:noProof/>
                <w:webHidden/>
              </w:rPr>
              <w:fldChar w:fldCharType="end"/>
            </w:r>
          </w:hyperlink>
        </w:p>
        <w:p w14:paraId="2769553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7" w:history="1">
            <w:r w:rsidRPr="00A62630">
              <w:rPr>
                <w:rStyle w:val="Hipervnculo"/>
                <w:rFonts w:cs="Arial"/>
                <w:noProof/>
              </w:rPr>
              <w:t>3.4. Política contable general</w:t>
            </w:r>
            <w:r>
              <w:rPr>
                <w:noProof/>
                <w:webHidden/>
              </w:rPr>
              <w:tab/>
            </w:r>
            <w:r>
              <w:rPr>
                <w:noProof/>
                <w:webHidden/>
              </w:rPr>
              <w:fldChar w:fldCharType="begin"/>
            </w:r>
            <w:r>
              <w:rPr>
                <w:noProof/>
                <w:webHidden/>
              </w:rPr>
              <w:instrText xml:space="preserve"> PAGEREF _Toc525721467 \h </w:instrText>
            </w:r>
            <w:r>
              <w:rPr>
                <w:noProof/>
                <w:webHidden/>
              </w:rPr>
            </w:r>
            <w:r>
              <w:rPr>
                <w:noProof/>
                <w:webHidden/>
              </w:rPr>
              <w:fldChar w:fldCharType="separate"/>
            </w:r>
            <w:r>
              <w:rPr>
                <w:noProof/>
                <w:webHidden/>
              </w:rPr>
              <w:t>72</w:t>
            </w:r>
            <w:r>
              <w:rPr>
                <w:noProof/>
                <w:webHidden/>
              </w:rPr>
              <w:fldChar w:fldCharType="end"/>
            </w:r>
          </w:hyperlink>
        </w:p>
        <w:p w14:paraId="0EF66CD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8" w:history="1">
            <w:r w:rsidRPr="00A62630">
              <w:rPr>
                <w:rStyle w:val="Hipervnculo"/>
                <w:rFonts w:cs="Arial"/>
                <w:noProof/>
              </w:rPr>
              <w:t>3.5. Reconocimiento</w:t>
            </w:r>
            <w:r>
              <w:rPr>
                <w:noProof/>
                <w:webHidden/>
              </w:rPr>
              <w:tab/>
            </w:r>
            <w:r>
              <w:rPr>
                <w:noProof/>
                <w:webHidden/>
              </w:rPr>
              <w:fldChar w:fldCharType="begin"/>
            </w:r>
            <w:r>
              <w:rPr>
                <w:noProof/>
                <w:webHidden/>
              </w:rPr>
              <w:instrText xml:space="preserve"> PAGEREF _Toc525721468 \h </w:instrText>
            </w:r>
            <w:r>
              <w:rPr>
                <w:noProof/>
                <w:webHidden/>
              </w:rPr>
            </w:r>
            <w:r>
              <w:rPr>
                <w:noProof/>
                <w:webHidden/>
              </w:rPr>
              <w:fldChar w:fldCharType="separate"/>
            </w:r>
            <w:r>
              <w:rPr>
                <w:noProof/>
                <w:webHidden/>
              </w:rPr>
              <w:t>73</w:t>
            </w:r>
            <w:r>
              <w:rPr>
                <w:noProof/>
                <w:webHidden/>
              </w:rPr>
              <w:fldChar w:fldCharType="end"/>
            </w:r>
          </w:hyperlink>
        </w:p>
        <w:p w14:paraId="1EBAD38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69" w:history="1">
            <w:r w:rsidRPr="00A62630">
              <w:rPr>
                <w:rStyle w:val="Hipervnculo"/>
                <w:rFonts w:cs="Arial"/>
                <w:noProof/>
              </w:rPr>
              <w:t>3.6. Medición inicial</w:t>
            </w:r>
            <w:r>
              <w:rPr>
                <w:noProof/>
                <w:webHidden/>
              </w:rPr>
              <w:tab/>
            </w:r>
            <w:r>
              <w:rPr>
                <w:noProof/>
                <w:webHidden/>
              </w:rPr>
              <w:fldChar w:fldCharType="begin"/>
            </w:r>
            <w:r>
              <w:rPr>
                <w:noProof/>
                <w:webHidden/>
              </w:rPr>
              <w:instrText xml:space="preserve"> PAGEREF _Toc525721469 \h </w:instrText>
            </w:r>
            <w:r>
              <w:rPr>
                <w:noProof/>
                <w:webHidden/>
              </w:rPr>
            </w:r>
            <w:r>
              <w:rPr>
                <w:noProof/>
                <w:webHidden/>
              </w:rPr>
              <w:fldChar w:fldCharType="separate"/>
            </w:r>
            <w:r>
              <w:rPr>
                <w:noProof/>
                <w:webHidden/>
              </w:rPr>
              <w:t>75</w:t>
            </w:r>
            <w:r>
              <w:rPr>
                <w:noProof/>
                <w:webHidden/>
              </w:rPr>
              <w:fldChar w:fldCharType="end"/>
            </w:r>
          </w:hyperlink>
        </w:p>
        <w:p w14:paraId="0052480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0" w:history="1">
            <w:r w:rsidRPr="00A62630">
              <w:rPr>
                <w:rStyle w:val="Hipervnculo"/>
                <w:rFonts w:cs="Arial"/>
                <w:noProof/>
              </w:rPr>
              <w:t>3.7. Medición posterior</w:t>
            </w:r>
            <w:r>
              <w:rPr>
                <w:noProof/>
                <w:webHidden/>
              </w:rPr>
              <w:tab/>
            </w:r>
            <w:r>
              <w:rPr>
                <w:noProof/>
                <w:webHidden/>
              </w:rPr>
              <w:fldChar w:fldCharType="begin"/>
            </w:r>
            <w:r>
              <w:rPr>
                <w:noProof/>
                <w:webHidden/>
              </w:rPr>
              <w:instrText xml:space="preserve"> PAGEREF _Toc525721470 \h </w:instrText>
            </w:r>
            <w:r>
              <w:rPr>
                <w:noProof/>
                <w:webHidden/>
              </w:rPr>
            </w:r>
            <w:r>
              <w:rPr>
                <w:noProof/>
                <w:webHidden/>
              </w:rPr>
              <w:fldChar w:fldCharType="separate"/>
            </w:r>
            <w:r>
              <w:rPr>
                <w:noProof/>
                <w:webHidden/>
              </w:rPr>
              <w:t>76</w:t>
            </w:r>
            <w:r>
              <w:rPr>
                <w:noProof/>
                <w:webHidden/>
              </w:rPr>
              <w:fldChar w:fldCharType="end"/>
            </w:r>
          </w:hyperlink>
        </w:p>
        <w:p w14:paraId="6FA0ECE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1" w:history="1">
            <w:r w:rsidRPr="00A62630">
              <w:rPr>
                <w:rStyle w:val="Hipervnculo"/>
                <w:rFonts w:cs="Arial"/>
                <w:noProof/>
              </w:rPr>
              <w:t>3.8. Gestión de riesgo</w:t>
            </w:r>
            <w:r>
              <w:rPr>
                <w:noProof/>
                <w:webHidden/>
              </w:rPr>
              <w:tab/>
            </w:r>
            <w:r>
              <w:rPr>
                <w:noProof/>
                <w:webHidden/>
              </w:rPr>
              <w:fldChar w:fldCharType="begin"/>
            </w:r>
            <w:r>
              <w:rPr>
                <w:noProof/>
                <w:webHidden/>
              </w:rPr>
              <w:instrText xml:space="preserve"> PAGEREF _Toc525721471 \h </w:instrText>
            </w:r>
            <w:r>
              <w:rPr>
                <w:noProof/>
                <w:webHidden/>
              </w:rPr>
            </w:r>
            <w:r>
              <w:rPr>
                <w:noProof/>
                <w:webHidden/>
              </w:rPr>
              <w:fldChar w:fldCharType="separate"/>
            </w:r>
            <w:r>
              <w:rPr>
                <w:noProof/>
                <w:webHidden/>
              </w:rPr>
              <w:t>77</w:t>
            </w:r>
            <w:r>
              <w:rPr>
                <w:noProof/>
                <w:webHidden/>
              </w:rPr>
              <w:fldChar w:fldCharType="end"/>
            </w:r>
          </w:hyperlink>
        </w:p>
        <w:p w14:paraId="0BAE6ADD"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2" w:history="1">
            <w:r w:rsidRPr="00A62630">
              <w:rPr>
                <w:rStyle w:val="Hipervnculo"/>
                <w:rFonts w:cs="Arial"/>
                <w:noProof/>
              </w:rPr>
              <w:t>3.9. Controles contables</w:t>
            </w:r>
            <w:r>
              <w:rPr>
                <w:noProof/>
                <w:webHidden/>
              </w:rPr>
              <w:tab/>
            </w:r>
            <w:r>
              <w:rPr>
                <w:noProof/>
                <w:webHidden/>
              </w:rPr>
              <w:fldChar w:fldCharType="begin"/>
            </w:r>
            <w:r>
              <w:rPr>
                <w:noProof/>
                <w:webHidden/>
              </w:rPr>
              <w:instrText xml:space="preserve"> PAGEREF _Toc525721472 \h </w:instrText>
            </w:r>
            <w:r>
              <w:rPr>
                <w:noProof/>
                <w:webHidden/>
              </w:rPr>
            </w:r>
            <w:r>
              <w:rPr>
                <w:noProof/>
                <w:webHidden/>
              </w:rPr>
              <w:fldChar w:fldCharType="separate"/>
            </w:r>
            <w:r>
              <w:rPr>
                <w:noProof/>
                <w:webHidden/>
              </w:rPr>
              <w:t>77</w:t>
            </w:r>
            <w:r>
              <w:rPr>
                <w:noProof/>
                <w:webHidden/>
              </w:rPr>
              <w:fldChar w:fldCharType="end"/>
            </w:r>
          </w:hyperlink>
        </w:p>
        <w:p w14:paraId="3D4660A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3" w:history="1">
            <w:r w:rsidRPr="00A62630">
              <w:rPr>
                <w:rStyle w:val="Hipervnculo"/>
                <w:rFonts w:cs="Arial"/>
                <w:noProof/>
              </w:rPr>
              <w:t>3.10. Revelaciones</w:t>
            </w:r>
            <w:r>
              <w:rPr>
                <w:noProof/>
                <w:webHidden/>
              </w:rPr>
              <w:tab/>
            </w:r>
            <w:r>
              <w:rPr>
                <w:noProof/>
                <w:webHidden/>
              </w:rPr>
              <w:fldChar w:fldCharType="begin"/>
            </w:r>
            <w:r>
              <w:rPr>
                <w:noProof/>
                <w:webHidden/>
              </w:rPr>
              <w:instrText xml:space="preserve"> PAGEREF _Toc525721473 \h </w:instrText>
            </w:r>
            <w:r>
              <w:rPr>
                <w:noProof/>
                <w:webHidden/>
              </w:rPr>
            </w:r>
            <w:r>
              <w:rPr>
                <w:noProof/>
                <w:webHidden/>
              </w:rPr>
              <w:fldChar w:fldCharType="separate"/>
            </w:r>
            <w:r>
              <w:rPr>
                <w:noProof/>
                <w:webHidden/>
              </w:rPr>
              <w:t>77</w:t>
            </w:r>
            <w:r>
              <w:rPr>
                <w:noProof/>
                <w:webHidden/>
              </w:rPr>
              <w:fldChar w:fldCharType="end"/>
            </w:r>
          </w:hyperlink>
        </w:p>
        <w:p w14:paraId="4FF69B4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4" w:history="1">
            <w:r w:rsidRPr="00A62630">
              <w:rPr>
                <w:rStyle w:val="Hipervnculo"/>
                <w:rFonts w:cs="Arial"/>
                <w:noProof/>
              </w:rPr>
              <w:t>CAPÍTULO V. POLITICA DE ACTIVOS Y PASIVOS CONTINGENTES</w:t>
            </w:r>
            <w:r>
              <w:rPr>
                <w:noProof/>
                <w:webHidden/>
              </w:rPr>
              <w:tab/>
            </w:r>
            <w:r>
              <w:rPr>
                <w:noProof/>
                <w:webHidden/>
              </w:rPr>
              <w:fldChar w:fldCharType="begin"/>
            </w:r>
            <w:r>
              <w:rPr>
                <w:noProof/>
                <w:webHidden/>
              </w:rPr>
              <w:instrText xml:space="preserve"> PAGEREF _Toc525721474 \h </w:instrText>
            </w:r>
            <w:r>
              <w:rPr>
                <w:noProof/>
                <w:webHidden/>
              </w:rPr>
            </w:r>
            <w:r>
              <w:rPr>
                <w:noProof/>
                <w:webHidden/>
              </w:rPr>
              <w:fldChar w:fldCharType="separate"/>
            </w:r>
            <w:r>
              <w:rPr>
                <w:noProof/>
                <w:webHidden/>
              </w:rPr>
              <w:t>78</w:t>
            </w:r>
            <w:r>
              <w:rPr>
                <w:noProof/>
                <w:webHidden/>
              </w:rPr>
              <w:fldChar w:fldCharType="end"/>
            </w:r>
          </w:hyperlink>
        </w:p>
        <w:p w14:paraId="42AF6D2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5" w:history="1">
            <w:r w:rsidRPr="00A62630">
              <w:rPr>
                <w:rStyle w:val="Hipervnculo"/>
                <w:rFonts w:cs="Arial"/>
                <w:noProof/>
              </w:rPr>
              <w:t>1. ACTIVOS CONTINGENTES</w:t>
            </w:r>
            <w:r>
              <w:rPr>
                <w:noProof/>
                <w:webHidden/>
              </w:rPr>
              <w:tab/>
            </w:r>
            <w:r>
              <w:rPr>
                <w:noProof/>
                <w:webHidden/>
              </w:rPr>
              <w:fldChar w:fldCharType="begin"/>
            </w:r>
            <w:r>
              <w:rPr>
                <w:noProof/>
                <w:webHidden/>
              </w:rPr>
              <w:instrText xml:space="preserve"> PAGEREF _Toc525721475 \h </w:instrText>
            </w:r>
            <w:r>
              <w:rPr>
                <w:noProof/>
                <w:webHidden/>
              </w:rPr>
            </w:r>
            <w:r>
              <w:rPr>
                <w:noProof/>
                <w:webHidden/>
              </w:rPr>
              <w:fldChar w:fldCharType="separate"/>
            </w:r>
            <w:r>
              <w:rPr>
                <w:noProof/>
                <w:webHidden/>
              </w:rPr>
              <w:t>78</w:t>
            </w:r>
            <w:r>
              <w:rPr>
                <w:noProof/>
                <w:webHidden/>
              </w:rPr>
              <w:fldChar w:fldCharType="end"/>
            </w:r>
          </w:hyperlink>
        </w:p>
        <w:p w14:paraId="5EFC1948"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6" w:history="1">
            <w:r w:rsidRPr="00A62630">
              <w:rPr>
                <w:rStyle w:val="Hipervnculo"/>
                <w:rFonts w:cs="Arial"/>
                <w:noProof/>
              </w:rPr>
              <w:t>1.2. Revelaciones</w:t>
            </w:r>
            <w:r>
              <w:rPr>
                <w:noProof/>
                <w:webHidden/>
              </w:rPr>
              <w:tab/>
            </w:r>
            <w:r>
              <w:rPr>
                <w:noProof/>
                <w:webHidden/>
              </w:rPr>
              <w:fldChar w:fldCharType="begin"/>
            </w:r>
            <w:r>
              <w:rPr>
                <w:noProof/>
                <w:webHidden/>
              </w:rPr>
              <w:instrText xml:space="preserve"> PAGEREF _Toc525721476 \h </w:instrText>
            </w:r>
            <w:r>
              <w:rPr>
                <w:noProof/>
                <w:webHidden/>
              </w:rPr>
            </w:r>
            <w:r>
              <w:rPr>
                <w:noProof/>
                <w:webHidden/>
              </w:rPr>
              <w:fldChar w:fldCharType="separate"/>
            </w:r>
            <w:r>
              <w:rPr>
                <w:noProof/>
                <w:webHidden/>
              </w:rPr>
              <w:t>78</w:t>
            </w:r>
            <w:r>
              <w:rPr>
                <w:noProof/>
                <w:webHidden/>
              </w:rPr>
              <w:fldChar w:fldCharType="end"/>
            </w:r>
          </w:hyperlink>
        </w:p>
        <w:p w14:paraId="0862D95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7" w:history="1">
            <w:r w:rsidRPr="00A62630">
              <w:rPr>
                <w:rStyle w:val="Hipervnculo"/>
                <w:rFonts w:cs="Arial"/>
                <w:noProof/>
              </w:rPr>
              <w:t>2. PASIVOS CONTINGENTES</w:t>
            </w:r>
            <w:r>
              <w:rPr>
                <w:noProof/>
                <w:webHidden/>
              </w:rPr>
              <w:tab/>
            </w:r>
            <w:r>
              <w:rPr>
                <w:noProof/>
                <w:webHidden/>
              </w:rPr>
              <w:fldChar w:fldCharType="begin"/>
            </w:r>
            <w:r>
              <w:rPr>
                <w:noProof/>
                <w:webHidden/>
              </w:rPr>
              <w:instrText xml:space="preserve"> PAGEREF _Toc525721477 \h </w:instrText>
            </w:r>
            <w:r>
              <w:rPr>
                <w:noProof/>
                <w:webHidden/>
              </w:rPr>
            </w:r>
            <w:r>
              <w:rPr>
                <w:noProof/>
                <w:webHidden/>
              </w:rPr>
              <w:fldChar w:fldCharType="separate"/>
            </w:r>
            <w:r>
              <w:rPr>
                <w:noProof/>
                <w:webHidden/>
              </w:rPr>
              <w:t>79</w:t>
            </w:r>
            <w:r>
              <w:rPr>
                <w:noProof/>
                <w:webHidden/>
              </w:rPr>
              <w:fldChar w:fldCharType="end"/>
            </w:r>
          </w:hyperlink>
        </w:p>
        <w:p w14:paraId="5339A87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8" w:history="1">
            <w:r w:rsidRPr="00A62630">
              <w:rPr>
                <w:rStyle w:val="Hipervnculo"/>
                <w:rFonts w:cs="Arial"/>
                <w:noProof/>
              </w:rPr>
              <w:t>2.1. Reconocimiento</w:t>
            </w:r>
            <w:r>
              <w:rPr>
                <w:noProof/>
                <w:webHidden/>
              </w:rPr>
              <w:tab/>
            </w:r>
            <w:r>
              <w:rPr>
                <w:noProof/>
                <w:webHidden/>
              </w:rPr>
              <w:fldChar w:fldCharType="begin"/>
            </w:r>
            <w:r>
              <w:rPr>
                <w:noProof/>
                <w:webHidden/>
              </w:rPr>
              <w:instrText xml:space="preserve"> PAGEREF _Toc525721478 \h </w:instrText>
            </w:r>
            <w:r>
              <w:rPr>
                <w:noProof/>
                <w:webHidden/>
              </w:rPr>
            </w:r>
            <w:r>
              <w:rPr>
                <w:noProof/>
                <w:webHidden/>
              </w:rPr>
              <w:fldChar w:fldCharType="separate"/>
            </w:r>
            <w:r>
              <w:rPr>
                <w:noProof/>
                <w:webHidden/>
              </w:rPr>
              <w:t>79</w:t>
            </w:r>
            <w:r>
              <w:rPr>
                <w:noProof/>
                <w:webHidden/>
              </w:rPr>
              <w:fldChar w:fldCharType="end"/>
            </w:r>
          </w:hyperlink>
        </w:p>
        <w:p w14:paraId="65FFC0D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79" w:history="1">
            <w:r w:rsidRPr="00A62630">
              <w:rPr>
                <w:rStyle w:val="Hipervnculo"/>
                <w:rFonts w:cs="Arial"/>
                <w:noProof/>
              </w:rPr>
              <w:t>2.2. Revelaciones</w:t>
            </w:r>
            <w:r>
              <w:rPr>
                <w:noProof/>
                <w:webHidden/>
              </w:rPr>
              <w:tab/>
            </w:r>
            <w:r>
              <w:rPr>
                <w:noProof/>
                <w:webHidden/>
              </w:rPr>
              <w:fldChar w:fldCharType="begin"/>
            </w:r>
            <w:r>
              <w:rPr>
                <w:noProof/>
                <w:webHidden/>
              </w:rPr>
              <w:instrText xml:space="preserve"> PAGEREF _Toc525721479 \h </w:instrText>
            </w:r>
            <w:r>
              <w:rPr>
                <w:noProof/>
                <w:webHidden/>
              </w:rPr>
            </w:r>
            <w:r>
              <w:rPr>
                <w:noProof/>
                <w:webHidden/>
              </w:rPr>
              <w:fldChar w:fldCharType="separate"/>
            </w:r>
            <w:r>
              <w:rPr>
                <w:noProof/>
                <w:webHidden/>
              </w:rPr>
              <w:t>79</w:t>
            </w:r>
            <w:r>
              <w:rPr>
                <w:noProof/>
                <w:webHidden/>
              </w:rPr>
              <w:fldChar w:fldCharType="end"/>
            </w:r>
          </w:hyperlink>
        </w:p>
        <w:p w14:paraId="1F96682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80" w:history="1">
            <w:r w:rsidRPr="00A62630">
              <w:rPr>
                <w:rStyle w:val="Hipervnculo"/>
                <w:rFonts w:cs="Arial"/>
                <w:noProof/>
              </w:rPr>
              <w:t>VI. POLÍTICA DE PATRIMONIO</w:t>
            </w:r>
            <w:r>
              <w:rPr>
                <w:noProof/>
                <w:webHidden/>
              </w:rPr>
              <w:tab/>
            </w:r>
            <w:r>
              <w:rPr>
                <w:noProof/>
                <w:webHidden/>
              </w:rPr>
              <w:fldChar w:fldCharType="begin"/>
            </w:r>
            <w:r>
              <w:rPr>
                <w:noProof/>
                <w:webHidden/>
              </w:rPr>
              <w:instrText xml:space="preserve"> PAGEREF _Toc525721480 \h </w:instrText>
            </w:r>
            <w:r>
              <w:rPr>
                <w:noProof/>
                <w:webHidden/>
              </w:rPr>
            </w:r>
            <w:r>
              <w:rPr>
                <w:noProof/>
                <w:webHidden/>
              </w:rPr>
              <w:fldChar w:fldCharType="separate"/>
            </w:r>
            <w:r>
              <w:rPr>
                <w:noProof/>
                <w:webHidden/>
              </w:rPr>
              <w:t>80</w:t>
            </w:r>
            <w:r>
              <w:rPr>
                <w:noProof/>
                <w:webHidden/>
              </w:rPr>
              <w:fldChar w:fldCharType="end"/>
            </w:r>
          </w:hyperlink>
        </w:p>
        <w:p w14:paraId="68275F49"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1" w:history="1">
            <w:r w:rsidRPr="00A62630">
              <w:rPr>
                <w:rStyle w:val="Hipervnculo"/>
                <w:rFonts w:cs="Arial"/>
                <w:noProof/>
                <w:lang w:eastAsia="es-ES"/>
              </w:rPr>
              <w:t>1.</w:t>
            </w:r>
            <w:r>
              <w:rPr>
                <w:rFonts w:asciiTheme="minorHAnsi" w:eastAsiaTheme="minorEastAsia" w:hAnsiTheme="minorHAnsi" w:cstheme="minorBidi"/>
                <w:noProof/>
                <w:szCs w:val="22"/>
                <w:lang w:eastAsia="es-CO"/>
              </w:rPr>
              <w:tab/>
            </w:r>
            <w:r w:rsidRPr="00A62630">
              <w:rPr>
                <w:rStyle w:val="Hipervnculo"/>
                <w:rFonts w:cs="Arial"/>
                <w:noProof/>
                <w:lang w:eastAsia="es-ES"/>
              </w:rPr>
              <w:t>Objetivo</w:t>
            </w:r>
            <w:r>
              <w:rPr>
                <w:noProof/>
                <w:webHidden/>
              </w:rPr>
              <w:tab/>
            </w:r>
            <w:r>
              <w:rPr>
                <w:noProof/>
                <w:webHidden/>
              </w:rPr>
              <w:fldChar w:fldCharType="begin"/>
            </w:r>
            <w:r>
              <w:rPr>
                <w:noProof/>
                <w:webHidden/>
              </w:rPr>
              <w:instrText xml:space="preserve"> PAGEREF _Toc525721481 \h </w:instrText>
            </w:r>
            <w:r>
              <w:rPr>
                <w:noProof/>
                <w:webHidden/>
              </w:rPr>
            </w:r>
            <w:r>
              <w:rPr>
                <w:noProof/>
                <w:webHidden/>
              </w:rPr>
              <w:fldChar w:fldCharType="separate"/>
            </w:r>
            <w:r>
              <w:rPr>
                <w:noProof/>
                <w:webHidden/>
              </w:rPr>
              <w:t>80</w:t>
            </w:r>
            <w:r>
              <w:rPr>
                <w:noProof/>
                <w:webHidden/>
              </w:rPr>
              <w:fldChar w:fldCharType="end"/>
            </w:r>
          </w:hyperlink>
        </w:p>
        <w:p w14:paraId="497F64A9"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2" w:history="1">
            <w:r w:rsidRPr="00A62630">
              <w:rPr>
                <w:rStyle w:val="Hipervnculo"/>
                <w:rFonts w:cs="Arial"/>
                <w:noProof/>
                <w:lang w:eastAsia="es-ES"/>
              </w:rPr>
              <w:t>2.</w:t>
            </w:r>
            <w:r>
              <w:rPr>
                <w:rFonts w:asciiTheme="minorHAnsi" w:eastAsiaTheme="minorEastAsia" w:hAnsiTheme="minorHAnsi" w:cstheme="minorBidi"/>
                <w:noProof/>
                <w:szCs w:val="22"/>
                <w:lang w:eastAsia="es-CO"/>
              </w:rPr>
              <w:tab/>
            </w:r>
            <w:r w:rsidRPr="00A62630">
              <w:rPr>
                <w:rStyle w:val="Hipervnculo"/>
                <w:rFonts w:cs="Arial"/>
                <w:noProof/>
                <w:lang w:eastAsia="es-ES"/>
              </w:rPr>
              <w:t>Normatividad Relacionada</w:t>
            </w:r>
            <w:r>
              <w:rPr>
                <w:noProof/>
                <w:webHidden/>
              </w:rPr>
              <w:tab/>
            </w:r>
            <w:r>
              <w:rPr>
                <w:noProof/>
                <w:webHidden/>
              </w:rPr>
              <w:fldChar w:fldCharType="begin"/>
            </w:r>
            <w:r>
              <w:rPr>
                <w:noProof/>
                <w:webHidden/>
              </w:rPr>
              <w:instrText xml:space="preserve"> PAGEREF _Toc525721482 \h </w:instrText>
            </w:r>
            <w:r>
              <w:rPr>
                <w:noProof/>
                <w:webHidden/>
              </w:rPr>
            </w:r>
            <w:r>
              <w:rPr>
                <w:noProof/>
                <w:webHidden/>
              </w:rPr>
              <w:fldChar w:fldCharType="separate"/>
            </w:r>
            <w:r>
              <w:rPr>
                <w:noProof/>
                <w:webHidden/>
              </w:rPr>
              <w:t>80</w:t>
            </w:r>
            <w:r>
              <w:rPr>
                <w:noProof/>
                <w:webHidden/>
              </w:rPr>
              <w:fldChar w:fldCharType="end"/>
            </w:r>
          </w:hyperlink>
        </w:p>
        <w:p w14:paraId="37458BE0"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3" w:history="1">
            <w:r w:rsidRPr="00A62630">
              <w:rPr>
                <w:rStyle w:val="Hipervnculo"/>
                <w:rFonts w:cs="Arial"/>
                <w:noProof/>
                <w:lang w:eastAsia="es-ES"/>
              </w:rPr>
              <w:t>3.</w:t>
            </w:r>
            <w:r>
              <w:rPr>
                <w:rFonts w:asciiTheme="minorHAnsi" w:eastAsiaTheme="minorEastAsia" w:hAnsiTheme="minorHAnsi" w:cstheme="minorBidi"/>
                <w:noProof/>
                <w:szCs w:val="22"/>
                <w:lang w:eastAsia="es-CO"/>
              </w:rPr>
              <w:tab/>
            </w:r>
            <w:r w:rsidRPr="00A62630">
              <w:rPr>
                <w:rStyle w:val="Hipervnculo"/>
                <w:rFonts w:cs="Arial"/>
                <w:noProof/>
                <w:lang w:eastAsia="es-ES"/>
              </w:rPr>
              <w:t>Alcance</w:t>
            </w:r>
            <w:r>
              <w:rPr>
                <w:noProof/>
                <w:webHidden/>
              </w:rPr>
              <w:tab/>
            </w:r>
            <w:r>
              <w:rPr>
                <w:noProof/>
                <w:webHidden/>
              </w:rPr>
              <w:fldChar w:fldCharType="begin"/>
            </w:r>
            <w:r>
              <w:rPr>
                <w:noProof/>
                <w:webHidden/>
              </w:rPr>
              <w:instrText xml:space="preserve"> PAGEREF _Toc525721483 \h </w:instrText>
            </w:r>
            <w:r>
              <w:rPr>
                <w:noProof/>
                <w:webHidden/>
              </w:rPr>
            </w:r>
            <w:r>
              <w:rPr>
                <w:noProof/>
                <w:webHidden/>
              </w:rPr>
              <w:fldChar w:fldCharType="separate"/>
            </w:r>
            <w:r>
              <w:rPr>
                <w:noProof/>
                <w:webHidden/>
              </w:rPr>
              <w:t>80</w:t>
            </w:r>
            <w:r>
              <w:rPr>
                <w:noProof/>
                <w:webHidden/>
              </w:rPr>
              <w:fldChar w:fldCharType="end"/>
            </w:r>
          </w:hyperlink>
        </w:p>
        <w:p w14:paraId="0213DA1C"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4" w:history="1">
            <w:r w:rsidRPr="00A62630">
              <w:rPr>
                <w:rStyle w:val="Hipervnculo"/>
                <w:rFonts w:cs="Arial"/>
                <w:noProof/>
                <w:lang w:eastAsia="es-ES"/>
              </w:rPr>
              <w:t>4.</w:t>
            </w:r>
            <w:r>
              <w:rPr>
                <w:rFonts w:asciiTheme="minorHAnsi" w:eastAsiaTheme="minorEastAsia" w:hAnsiTheme="minorHAnsi" w:cstheme="minorBidi"/>
                <w:noProof/>
                <w:szCs w:val="22"/>
                <w:lang w:eastAsia="es-CO"/>
              </w:rPr>
              <w:tab/>
            </w:r>
            <w:r w:rsidRPr="00A62630">
              <w:rPr>
                <w:rStyle w:val="Hipervnculo"/>
                <w:rFonts w:cs="Arial"/>
                <w:noProof/>
                <w:lang w:eastAsia="es-ES"/>
              </w:rPr>
              <w:t>Política Contable General</w:t>
            </w:r>
            <w:r>
              <w:rPr>
                <w:noProof/>
                <w:webHidden/>
              </w:rPr>
              <w:tab/>
            </w:r>
            <w:r>
              <w:rPr>
                <w:noProof/>
                <w:webHidden/>
              </w:rPr>
              <w:fldChar w:fldCharType="begin"/>
            </w:r>
            <w:r>
              <w:rPr>
                <w:noProof/>
                <w:webHidden/>
              </w:rPr>
              <w:instrText xml:space="preserve"> PAGEREF _Toc525721484 \h </w:instrText>
            </w:r>
            <w:r>
              <w:rPr>
                <w:noProof/>
                <w:webHidden/>
              </w:rPr>
            </w:r>
            <w:r>
              <w:rPr>
                <w:noProof/>
                <w:webHidden/>
              </w:rPr>
              <w:fldChar w:fldCharType="separate"/>
            </w:r>
            <w:r>
              <w:rPr>
                <w:noProof/>
                <w:webHidden/>
              </w:rPr>
              <w:t>80</w:t>
            </w:r>
            <w:r>
              <w:rPr>
                <w:noProof/>
                <w:webHidden/>
              </w:rPr>
              <w:fldChar w:fldCharType="end"/>
            </w:r>
          </w:hyperlink>
        </w:p>
        <w:p w14:paraId="4EA30D7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85" w:history="1">
            <w:r w:rsidRPr="00A62630">
              <w:rPr>
                <w:rStyle w:val="Hipervnculo"/>
                <w:rFonts w:cs="Arial"/>
                <w:noProof/>
                <w:lang w:eastAsia="es-ES"/>
              </w:rPr>
              <w:t>4.1. Reconocimiento y medición inicial</w:t>
            </w:r>
            <w:r>
              <w:rPr>
                <w:noProof/>
                <w:webHidden/>
              </w:rPr>
              <w:tab/>
            </w:r>
            <w:r>
              <w:rPr>
                <w:noProof/>
                <w:webHidden/>
              </w:rPr>
              <w:fldChar w:fldCharType="begin"/>
            </w:r>
            <w:r>
              <w:rPr>
                <w:noProof/>
                <w:webHidden/>
              </w:rPr>
              <w:instrText xml:space="preserve"> PAGEREF _Toc525721485 \h </w:instrText>
            </w:r>
            <w:r>
              <w:rPr>
                <w:noProof/>
                <w:webHidden/>
              </w:rPr>
            </w:r>
            <w:r>
              <w:rPr>
                <w:noProof/>
                <w:webHidden/>
              </w:rPr>
              <w:fldChar w:fldCharType="separate"/>
            </w:r>
            <w:r>
              <w:rPr>
                <w:noProof/>
                <w:webHidden/>
              </w:rPr>
              <w:t>81</w:t>
            </w:r>
            <w:r>
              <w:rPr>
                <w:noProof/>
                <w:webHidden/>
              </w:rPr>
              <w:fldChar w:fldCharType="end"/>
            </w:r>
          </w:hyperlink>
        </w:p>
        <w:p w14:paraId="60481E9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86" w:history="1">
            <w:r w:rsidRPr="00A62630">
              <w:rPr>
                <w:rStyle w:val="Hipervnculo"/>
                <w:rFonts w:cs="Arial"/>
                <w:noProof/>
                <w:lang w:eastAsia="es-ES"/>
              </w:rPr>
              <w:t>4.2. Medición posterior</w:t>
            </w:r>
            <w:r>
              <w:rPr>
                <w:noProof/>
                <w:webHidden/>
              </w:rPr>
              <w:tab/>
            </w:r>
            <w:r>
              <w:rPr>
                <w:noProof/>
                <w:webHidden/>
              </w:rPr>
              <w:fldChar w:fldCharType="begin"/>
            </w:r>
            <w:r>
              <w:rPr>
                <w:noProof/>
                <w:webHidden/>
              </w:rPr>
              <w:instrText xml:space="preserve"> PAGEREF _Toc525721486 \h </w:instrText>
            </w:r>
            <w:r>
              <w:rPr>
                <w:noProof/>
                <w:webHidden/>
              </w:rPr>
            </w:r>
            <w:r>
              <w:rPr>
                <w:noProof/>
                <w:webHidden/>
              </w:rPr>
              <w:fldChar w:fldCharType="separate"/>
            </w:r>
            <w:r>
              <w:rPr>
                <w:noProof/>
                <w:webHidden/>
              </w:rPr>
              <w:t>81</w:t>
            </w:r>
            <w:r>
              <w:rPr>
                <w:noProof/>
                <w:webHidden/>
              </w:rPr>
              <w:fldChar w:fldCharType="end"/>
            </w:r>
          </w:hyperlink>
        </w:p>
        <w:p w14:paraId="49C98215"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7" w:history="1">
            <w:r w:rsidRPr="00A62630">
              <w:rPr>
                <w:rStyle w:val="Hipervnculo"/>
                <w:rFonts w:cs="Arial"/>
                <w:noProof/>
                <w:lang w:eastAsia="es-ES"/>
              </w:rPr>
              <w:t>5.</w:t>
            </w:r>
            <w:r>
              <w:rPr>
                <w:rFonts w:asciiTheme="minorHAnsi" w:eastAsiaTheme="minorEastAsia" w:hAnsiTheme="minorHAnsi" w:cstheme="minorBidi"/>
                <w:noProof/>
                <w:szCs w:val="22"/>
                <w:lang w:eastAsia="es-CO"/>
              </w:rPr>
              <w:tab/>
            </w:r>
            <w:r w:rsidRPr="00A62630">
              <w:rPr>
                <w:rStyle w:val="Hipervnculo"/>
                <w:rFonts w:cs="Arial"/>
                <w:noProof/>
                <w:lang w:eastAsia="es-ES"/>
              </w:rPr>
              <w:t>Controles Contables</w:t>
            </w:r>
            <w:r>
              <w:rPr>
                <w:noProof/>
                <w:webHidden/>
              </w:rPr>
              <w:tab/>
            </w:r>
            <w:r>
              <w:rPr>
                <w:noProof/>
                <w:webHidden/>
              </w:rPr>
              <w:fldChar w:fldCharType="begin"/>
            </w:r>
            <w:r>
              <w:rPr>
                <w:noProof/>
                <w:webHidden/>
              </w:rPr>
              <w:instrText xml:space="preserve"> PAGEREF _Toc525721487 \h </w:instrText>
            </w:r>
            <w:r>
              <w:rPr>
                <w:noProof/>
                <w:webHidden/>
              </w:rPr>
            </w:r>
            <w:r>
              <w:rPr>
                <w:noProof/>
                <w:webHidden/>
              </w:rPr>
              <w:fldChar w:fldCharType="separate"/>
            </w:r>
            <w:r>
              <w:rPr>
                <w:noProof/>
                <w:webHidden/>
              </w:rPr>
              <w:t>81</w:t>
            </w:r>
            <w:r>
              <w:rPr>
                <w:noProof/>
                <w:webHidden/>
              </w:rPr>
              <w:fldChar w:fldCharType="end"/>
            </w:r>
          </w:hyperlink>
        </w:p>
        <w:p w14:paraId="52903E90" w14:textId="77777777" w:rsidR="00DE5FA4" w:rsidRDefault="00DE5FA4">
          <w:pPr>
            <w:pStyle w:val="TDC1"/>
            <w:tabs>
              <w:tab w:val="left" w:pos="480"/>
              <w:tab w:val="right" w:pos="8830"/>
            </w:tabs>
            <w:rPr>
              <w:rFonts w:asciiTheme="minorHAnsi" w:eastAsiaTheme="minorEastAsia" w:hAnsiTheme="minorHAnsi" w:cstheme="minorBidi"/>
              <w:noProof/>
              <w:szCs w:val="22"/>
              <w:lang w:eastAsia="es-CO"/>
            </w:rPr>
          </w:pPr>
          <w:hyperlink w:anchor="_Toc525721488" w:history="1">
            <w:r w:rsidRPr="00A62630">
              <w:rPr>
                <w:rStyle w:val="Hipervnculo"/>
                <w:rFonts w:cs="Arial"/>
                <w:noProof/>
                <w:lang w:eastAsia="es-ES"/>
              </w:rPr>
              <w:t>6.</w:t>
            </w:r>
            <w:r>
              <w:rPr>
                <w:rFonts w:asciiTheme="minorHAnsi" w:eastAsiaTheme="minorEastAsia" w:hAnsiTheme="minorHAnsi" w:cstheme="minorBidi"/>
                <w:noProof/>
                <w:szCs w:val="22"/>
                <w:lang w:eastAsia="es-CO"/>
              </w:rPr>
              <w:tab/>
            </w:r>
            <w:r w:rsidRPr="00A62630">
              <w:rPr>
                <w:rStyle w:val="Hipervnculo"/>
                <w:rFonts w:cs="Arial"/>
                <w:noProof/>
                <w:lang w:eastAsia="es-ES"/>
              </w:rPr>
              <w:t>Revelaciones</w:t>
            </w:r>
            <w:r>
              <w:rPr>
                <w:noProof/>
                <w:webHidden/>
              </w:rPr>
              <w:tab/>
            </w:r>
            <w:r>
              <w:rPr>
                <w:noProof/>
                <w:webHidden/>
              </w:rPr>
              <w:fldChar w:fldCharType="begin"/>
            </w:r>
            <w:r>
              <w:rPr>
                <w:noProof/>
                <w:webHidden/>
              </w:rPr>
              <w:instrText xml:space="preserve"> PAGEREF _Toc525721488 \h </w:instrText>
            </w:r>
            <w:r>
              <w:rPr>
                <w:noProof/>
                <w:webHidden/>
              </w:rPr>
            </w:r>
            <w:r>
              <w:rPr>
                <w:noProof/>
                <w:webHidden/>
              </w:rPr>
              <w:fldChar w:fldCharType="separate"/>
            </w:r>
            <w:r>
              <w:rPr>
                <w:noProof/>
                <w:webHidden/>
              </w:rPr>
              <w:t>81</w:t>
            </w:r>
            <w:r>
              <w:rPr>
                <w:noProof/>
                <w:webHidden/>
              </w:rPr>
              <w:fldChar w:fldCharType="end"/>
            </w:r>
          </w:hyperlink>
        </w:p>
        <w:p w14:paraId="02BCF97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89" w:history="1">
            <w:r w:rsidRPr="00A62630">
              <w:rPr>
                <w:rStyle w:val="Hipervnculo"/>
                <w:rFonts w:cs="Arial"/>
                <w:noProof/>
                <w:shd w:val="clear" w:color="auto" w:fill="FFFFFF"/>
              </w:rPr>
              <w:t>VII. POLÍTICA DE INGRESOS</w:t>
            </w:r>
            <w:r>
              <w:rPr>
                <w:noProof/>
                <w:webHidden/>
              </w:rPr>
              <w:tab/>
            </w:r>
            <w:r>
              <w:rPr>
                <w:noProof/>
                <w:webHidden/>
              </w:rPr>
              <w:fldChar w:fldCharType="begin"/>
            </w:r>
            <w:r>
              <w:rPr>
                <w:noProof/>
                <w:webHidden/>
              </w:rPr>
              <w:instrText xml:space="preserve"> PAGEREF _Toc525721489 \h </w:instrText>
            </w:r>
            <w:r>
              <w:rPr>
                <w:noProof/>
                <w:webHidden/>
              </w:rPr>
            </w:r>
            <w:r>
              <w:rPr>
                <w:noProof/>
                <w:webHidden/>
              </w:rPr>
              <w:fldChar w:fldCharType="separate"/>
            </w:r>
            <w:r>
              <w:rPr>
                <w:noProof/>
                <w:webHidden/>
              </w:rPr>
              <w:t>82</w:t>
            </w:r>
            <w:r>
              <w:rPr>
                <w:noProof/>
                <w:webHidden/>
              </w:rPr>
              <w:fldChar w:fldCharType="end"/>
            </w:r>
          </w:hyperlink>
        </w:p>
        <w:p w14:paraId="26BB64A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0" w:history="1">
            <w:r w:rsidRPr="00A62630">
              <w:rPr>
                <w:rStyle w:val="Hipervnculo"/>
                <w:rFonts w:cs="Arial"/>
                <w:noProof/>
              </w:rPr>
              <w:t>1. INGRESOS SIN CONTRAPRESTACION</w:t>
            </w:r>
            <w:r>
              <w:rPr>
                <w:noProof/>
                <w:webHidden/>
              </w:rPr>
              <w:tab/>
            </w:r>
            <w:r>
              <w:rPr>
                <w:noProof/>
                <w:webHidden/>
              </w:rPr>
              <w:fldChar w:fldCharType="begin"/>
            </w:r>
            <w:r>
              <w:rPr>
                <w:noProof/>
                <w:webHidden/>
              </w:rPr>
              <w:instrText xml:space="preserve"> PAGEREF _Toc525721490 \h </w:instrText>
            </w:r>
            <w:r>
              <w:rPr>
                <w:noProof/>
                <w:webHidden/>
              </w:rPr>
            </w:r>
            <w:r>
              <w:rPr>
                <w:noProof/>
                <w:webHidden/>
              </w:rPr>
              <w:fldChar w:fldCharType="separate"/>
            </w:r>
            <w:r>
              <w:rPr>
                <w:noProof/>
                <w:webHidden/>
              </w:rPr>
              <w:t>82</w:t>
            </w:r>
            <w:r>
              <w:rPr>
                <w:noProof/>
                <w:webHidden/>
              </w:rPr>
              <w:fldChar w:fldCharType="end"/>
            </w:r>
          </w:hyperlink>
        </w:p>
        <w:p w14:paraId="7E1168B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1" w:history="1">
            <w:r w:rsidRPr="00A62630">
              <w:rPr>
                <w:rStyle w:val="Hipervnculo"/>
                <w:rFonts w:cs="Arial"/>
                <w:noProof/>
                <w:shd w:val="clear" w:color="auto" w:fill="FFFFFF"/>
              </w:rPr>
              <w:t>1.1. Objetivo</w:t>
            </w:r>
            <w:r>
              <w:rPr>
                <w:noProof/>
                <w:webHidden/>
              </w:rPr>
              <w:tab/>
            </w:r>
            <w:r>
              <w:rPr>
                <w:noProof/>
                <w:webHidden/>
              </w:rPr>
              <w:fldChar w:fldCharType="begin"/>
            </w:r>
            <w:r>
              <w:rPr>
                <w:noProof/>
                <w:webHidden/>
              </w:rPr>
              <w:instrText xml:space="preserve"> PAGEREF _Toc525721491 \h </w:instrText>
            </w:r>
            <w:r>
              <w:rPr>
                <w:noProof/>
                <w:webHidden/>
              </w:rPr>
            </w:r>
            <w:r>
              <w:rPr>
                <w:noProof/>
                <w:webHidden/>
              </w:rPr>
              <w:fldChar w:fldCharType="separate"/>
            </w:r>
            <w:r>
              <w:rPr>
                <w:noProof/>
                <w:webHidden/>
              </w:rPr>
              <w:t>82</w:t>
            </w:r>
            <w:r>
              <w:rPr>
                <w:noProof/>
                <w:webHidden/>
              </w:rPr>
              <w:fldChar w:fldCharType="end"/>
            </w:r>
          </w:hyperlink>
        </w:p>
        <w:p w14:paraId="7CEBCDC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2" w:history="1">
            <w:r w:rsidRPr="00A62630">
              <w:rPr>
                <w:rStyle w:val="Hipervnculo"/>
                <w:rFonts w:cs="Arial"/>
                <w:noProof/>
              </w:rPr>
              <w:t>1.2. Normatividad relacionada</w:t>
            </w:r>
            <w:r>
              <w:rPr>
                <w:noProof/>
                <w:webHidden/>
              </w:rPr>
              <w:tab/>
            </w:r>
            <w:r>
              <w:rPr>
                <w:noProof/>
                <w:webHidden/>
              </w:rPr>
              <w:fldChar w:fldCharType="begin"/>
            </w:r>
            <w:r>
              <w:rPr>
                <w:noProof/>
                <w:webHidden/>
              </w:rPr>
              <w:instrText xml:space="preserve"> PAGEREF _Toc525721492 \h </w:instrText>
            </w:r>
            <w:r>
              <w:rPr>
                <w:noProof/>
                <w:webHidden/>
              </w:rPr>
            </w:r>
            <w:r>
              <w:rPr>
                <w:noProof/>
                <w:webHidden/>
              </w:rPr>
              <w:fldChar w:fldCharType="separate"/>
            </w:r>
            <w:r>
              <w:rPr>
                <w:noProof/>
                <w:webHidden/>
              </w:rPr>
              <w:t>82</w:t>
            </w:r>
            <w:r>
              <w:rPr>
                <w:noProof/>
                <w:webHidden/>
              </w:rPr>
              <w:fldChar w:fldCharType="end"/>
            </w:r>
          </w:hyperlink>
        </w:p>
        <w:p w14:paraId="7D41872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3" w:history="1">
            <w:r w:rsidRPr="00A62630">
              <w:rPr>
                <w:rStyle w:val="Hipervnculo"/>
                <w:rFonts w:cs="Arial"/>
                <w:noProof/>
                <w:shd w:val="clear" w:color="auto" w:fill="FFFFFF"/>
              </w:rPr>
              <w:t>1.3. Alcance</w:t>
            </w:r>
            <w:r>
              <w:rPr>
                <w:noProof/>
                <w:webHidden/>
              </w:rPr>
              <w:tab/>
            </w:r>
            <w:r>
              <w:rPr>
                <w:noProof/>
                <w:webHidden/>
              </w:rPr>
              <w:fldChar w:fldCharType="begin"/>
            </w:r>
            <w:r>
              <w:rPr>
                <w:noProof/>
                <w:webHidden/>
              </w:rPr>
              <w:instrText xml:space="preserve"> PAGEREF _Toc525721493 \h </w:instrText>
            </w:r>
            <w:r>
              <w:rPr>
                <w:noProof/>
                <w:webHidden/>
              </w:rPr>
            </w:r>
            <w:r>
              <w:rPr>
                <w:noProof/>
                <w:webHidden/>
              </w:rPr>
              <w:fldChar w:fldCharType="separate"/>
            </w:r>
            <w:r>
              <w:rPr>
                <w:noProof/>
                <w:webHidden/>
              </w:rPr>
              <w:t>82</w:t>
            </w:r>
            <w:r>
              <w:rPr>
                <w:noProof/>
                <w:webHidden/>
              </w:rPr>
              <w:fldChar w:fldCharType="end"/>
            </w:r>
          </w:hyperlink>
        </w:p>
        <w:p w14:paraId="55EBEBB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4" w:history="1">
            <w:r w:rsidRPr="00A62630">
              <w:rPr>
                <w:rStyle w:val="Hipervnculo"/>
                <w:rFonts w:cs="Arial"/>
                <w:noProof/>
                <w:shd w:val="clear" w:color="auto" w:fill="FFFFFF"/>
              </w:rPr>
              <w:t>1.4. Política Contable General</w:t>
            </w:r>
            <w:r>
              <w:rPr>
                <w:noProof/>
                <w:webHidden/>
              </w:rPr>
              <w:tab/>
            </w:r>
            <w:r>
              <w:rPr>
                <w:noProof/>
                <w:webHidden/>
              </w:rPr>
              <w:fldChar w:fldCharType="begin"/>
            </w:r>
            <w:r>
              <w:rPr>
                <w:noProof/>
                <w:webHidden/>
              </w:rPr>
              <w:instrText xml:space="preserve"> PAGEREF _Toc525721494 \h </w:instrText>
            </w:r>
            <w:r>
              <w:rPr>
                <w:noProof/>
                <w:webHidden/>
              </w:rPr>
            </w:r>
            <w:r>
              <w:rPr>
                <w:noProof/>
                <w:webHidden/>
              </w:rPr>
              <w:fldChar w:fldCharType="separate"/>
            </w:r>
            <w:r>
              <w:rPr>
                <w:noProof/>
                <w:webHidden/>
              </w:rPr>
              <w:t>82</w:t>
            </w:r>
            <w:r>
              <w:rPr>
                <w:noProof/>
                <w:webHidden/>
              </w:rPr>
              <w:fldChar w:fldCharType="end"/>
            </w:r>
          </w:hyperlink>
        </w:p>
        <w:p w14:paraId="56BEBCF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5" w:history="1">
            <w:r w:rsidRPr="00A62630">
              <w:rPr>
                <w:rStyle w:val="Hipervnculo"/>
                <w:rFonts w:cs="Arial"/>
                <w:noProof/>
              </w:rPr>
              <w:t>1.5. Transferencias</w:t>
            </w:r>
            <w:r>
              <w:rPr>
                <w:noProof/>
                <w:webHidden/>
              </w:rPr>
              <w:tab/>
            </w:r>
            <w:r>
              <w:rPr>
                <w:noProof/>
                <w:webHidden/>
              </w:rPr>
              <w:fldChar w:fldCharType="begin"/>
            </w:r>
            <w:r>
              <w:rPr>
                <w:noProof/>
                <w:webHidden/>
              </w:rPr>
              <w:instrText xml:space="preserve"> PAGEREF _Toc525721495 \h </w:instrText>
            </w:r>
            <w:r>
              <w:rPr>
                <w:noProof/>
                <w:webHidden/>
              </w:rPr>
            </w:r>
            <w:r>
              <w:rPr>
                <w:noProof/>
                <w:webHidden/>
              </w:rPr>
              <w:fldChar w:fldCharType="separate"/>
            </w:r>
            <w:r>
              <w:rPr>
                <w:noProof/>
                <w:webHidden/>
              </w:rPr>
              <w:t>83</w:t>
            </w:r>
            <w:r>
              <w:rPr>
                <w:noProof/>
                <w:webHidden/>
              </w:rPr>
              <w:fldChar w:fldCharType="end"/>
            </w:r>
          </w:hyperlink>
        </w:p>
        <w:p w14:paraId="6E65639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6" w:history="1">
            <w:r w:rsidRPr="00A62630">
              <w:rPr>
                <w:rStyle w:val="Hipervnculo"/>
                <w:rFonts w:cs="Arial"/>
                <w:noProof/>
              </w:rPr>
              <w:t>1.6. Retribuciones, multas y sanciones</w:t>
            </w:r>
            <w:r>
              <w:rPr>
                <w:noProof/>
                <w:webHidden/>
              </w:rPr>
              <w:tab/>
            </w:r>
            <w:r>
              <w:rPr>
                <w:noProof/>
                <w:webHidden/>
              </w:rPr>
              <w:fldChar w:fldCharType="begin"/>
            </w:r>
            <w:r>
              <w:rPr>
                <w:noProof/>
                <w:webHidden/>
              </w:rPr>
              <w:instrText xml:space="preserve"> PAGEREF _Toc525721496 \h </w:instrText>
            </w:r>
            <w:r>
              <w:rPr>
                <w:noProof/>
                <w:webHidden/>
              </w:rPr>
            </w:r>
            <w:r>
              <w:rPr>
                <w:noProof/>
                <w:webHidden/>
              </w:rPr>
              <w:fldChar w:fldCharType="separate"/>
            </w:r>
            <w:r>
              <w:rPr>
                <w:noProof/>
                <w:webHidden/>
              </w:rPr>
              <w:t>86</w:t>
            </w:r>
            <w:r>
              <w:rPr>
                <w:noProof/>
                <w:webHidden/>
              </w:rPr>
              <w:fldChar w:fldCharType="end"/>
            </w:r>
          </w:hyperlink>
        </w:p>
        <w:p w14:paraId="42AA99B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7" w:history="1">
            <w:r w:rsidRPr="00A62630">
              <w:rPr>
                <w:rStyle w:val="Hipervnculo"/>
                <w:rFonts w:cs="Arial"/>
                <w:noProof/>
              </w:rPr>
              <w:t>1.7. Gestión de riesgo</w:t>
            </w:r>
            <w:r>
              <w:rPr>
                <w:noProof/>
                <w:webHidden/>
              </w:rPr>
              <w:tab/>
            </w:r>
            <w:r>
              <w:rPr>
                <w:noProof/>
                <w:webHidden/>
              </w:rPr>
              <w:fldChar w:fldCharType="begin"/>
            </w:r>
            <w:r>
              <w:rPr>
                <w:noProof/>
                <w:webHidden/>
              </w:rPr>
              <w:instrText xml:space="preserve"> PAGEREF _Toc525721497 \h </w:instrText>
            </w:r>
            <w:r>
              <w:rPr>
                <w:noProof/>
                <w:webHidden/>
              </w:rPr>
            </w:r>
            <w:r>
              <w:rPr>
                <w:noProof/>
                <w:webHidden/>
              </w:rPr>
              <w:fldChar w:fldCharType="separate"/>
            </w:r>
            <w:r>
              <w:rPr>
                <w:noProof/>
                <w:webHidden/>
              </w:rPr>
              <w:t>86</w:t>
            </w:r>
            <w:r>
              <w:rPr>
                <w:noProof/>
                <w:webHidden/>
              </w:rPr>
              <w:fldChar w:fldCharType="end"/>
            </w:r>
          </w:hyperlink>
        </w:p>
        <w:p w14:paraId="25D7865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8" w:history="1">
            <w:r w:rsidRPr="00A62630">
              <w:rPr>
                <w:rStyle w:val="Hipervnculo"/>
                <w:rFonts w:cs="Arial"/>
                <w:noProof/>
                <w:shd w:val="clear" w:color="auto" w:fill="FFFFFF"/>
              </w:rPr>
              <w:t>1.8. Controles Contables</w:t>
            </w:r>
            <w:r>
              <w:rPr>
                <w:noProof/>
                <w:webHidden/>
              </w:rPr>
              <w:tab/>
            </w:r>
            <w:r>
              <w:rPr>
                <w:noProof/>
                <w:webHidden/>
              </w:rPr>
              <w:fldChar w:fldCharType="begin"/>
            </w:r>
            <w:r>
              <w:rPr>
                <w:noProof/>
                <w:webHidden/>
              </w:rPr>
              <w:instrText xml:space="preserve"> PAGEREF _Toc525721498 \h </w:instrText>
            </w:r>
            <w:r>
              <w:rPr>
                <w:noProof/>
                <w:webHidden/>
              </w:rPr>
            </w:r>
            <w:r>
              <w:rPr>
                <w:noProof/>
                <w:webHidden/>
              </w:rPr>
              <w:fldChar w:fldCharType="separate"/>
            </w:r>
            <w:r>
              <w:rPr>
                <w:noProof/>
                <w:webHidden/>
              </w:rPr>
              <w:t>87</w:t>
            </w:r>
            <w:r>
              <w:rPr>
                <w:noProof/>
                <w:webHidden/>
              </w:rPr>
              <w:fldChar w:fldCharType="end"/>
            </w:r>
          </w:hyperlink>
        </w:p>
        <w:p w14:paraId="5849FD1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499" w:history="1">
            <w:r w:rsidRPr="00A62630">
              <w:rPr>
                <w:rStyle w:val="Hipervnculo"/>
                <w:rFonts w:cs="Arial"/>
                <w:noProof/>
                <w:shd w:val="clear" w:color="auto" w:fill="FFFFFF"/>
              </w:rPr>
              <w:t>1.9. Revelaciones</w:t>
            </w:r>
            <w:r>
              <w:rPr>
                <w:noProof/>
                <w:webHidden/>
              </w:rPr>
              <w:tab/>
            </w:r>
            <w:r>
              <w:rPr>
                <w:noProof/>
                <w:webHidden/>
              </w:rPr>
              <w:fldChar w:fldCharType="begin"/>
            </w:r>
            <w:r>
              <w:rPr>
                <w:noProof/>
                <w:webHidden/>
              </w:rPr>
              <w:instrText xml:space="preserve"> PAGEREF _Toc525721499 \h </w:instrText>
            </w:r>
            <w:r>
              <w:rPr>
                <w:noProof/>
                <w:webHidden/>
              </w:rPr>
            </w:r>
            <w:r>
              <w:rPr>
                <w:noProof/>
                <w:webHidden/>
              </w:rPr>
              <w:fldChar w:fldCharType="separate"/>
            </w:r>
            <w:r>
              <w:rPr>
                <w:noProof/>
                <w:webHidden/>
              </w:rPr>
              <w:t>87</w:t>
            </w:r>
            <w:r>
              <w:rPr>
                <w:noProof/>
                <w:webHidden/>
              </w:rPr>
              <w:fldChar w:fldCharType="end"/>
            </w:r>
          </w:hyperlink>
        </w:p>
        <w:p w14:paraId="29803A3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0" w:history="1">
            <w:r w:rsidRPr="00A62630">
              <w:rPr>
                <w:rStyle w:val="Hipervnculo"/>
                <w:rFonts w:cs="Arial"/>
                <w:noProof/>
              </w:rPr>
              <w:t>CAPÍTULO VIII.</w:t>
            </w:r>
            <w:r>
              <w:rPr>
                <w:noProof/>
                <w:webHidden/>
              </w:rPr>
              <w:tab/>
            </w:r>
            <w:r>
              <w:rPr>
                <w:noProof/>
                <w:webHidden/>
              </w:rPr>
              <w:fldChar w:fldCharType="begin"/>
            </w:r>
            <w:r>
              <w:rPr>
                <w:noProof/>
                <w:webHidden/>
              </w:rPr>
              <w:instrText xml:space="preserve"> PAGEREF _Toc525721500 \h </w:instrText>
            </w:r>
            <w:r>
              <w:rPr>
                <w:noProof/>
                <w:webHidden/>
              </w:rPr>
            </w:r>
            <w:r>
              <w:rPr>
                <w:noProof/>
                <w:webHidden/>
              </w:rPr>
              <w:fldChar w:fldCharType="separate"/>
            </w:r>
            <w:r>
              <w:rPr>
                <w:noProof/>
                <w:webHidden/>
              </w:rPr>
              <w:t>87</w:t>
            </w:r>
            <w:r>
              <w:rPr>
                <w:noProof/>
                <w:webHidden/>
              </w:rPr>
              <w:fldChar w:fldCharType="end"/>
            </w:r>
          </w:hyperlink>
        </w:p>
        <w:p w14:paraId="37474E4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1" w:history="1">
            <w:r w:rsidRPr="00A62630">
              <w:rPr>
                <w:rStyle w:val="Hipervnculo"/>
                <w:rFonts w:cs="Arial"/>
                <w:noProof/>
              </w:rPr>
              <w:t>POLITICA PARA LA PRESENTACIÓN DE ESTADOS FINANCIEROS Y REVELACIONES</w:t>
            </w:r>
            <w:r>
              <w:rPr>
                <w:noProof/>
                <w:webHidden/>
              </w:rPr>
              <w:tab/>
            </w:r>
            <w:r>
              <w:rPr>
                <w:noProof/>
                <w:webHidden/>
              </w:rPr>
              <w:fldChar w:fldCharType="begin"/>
            </w:r>
            <w:r>
              <w:rPr>
                <w:noProof/>
                <w:webHidden/>
              </w:rPr>
              <w:instrText xml:space="preserve"> PAGEREF _Toc525721501 \h </w:instrText>
            </w:r>
            <w:r>
              <w:rPr>
                <w:noProof/>
                <w:webHidden/>
              </w:rPr>
            </w:r>
            <w:r>
              <w:rPr>
                <w:noProof/>
                <w:webHidden/>
              </w:rPr>
              <w:fldChar w:fldCharType="separate"/>
            </w:r>
            <w:r>
              <w:rPr>
                <w:noProof/>
                <w:webHidden/>
              </w:rPr>
              <w:t>87</w:t>
            </w:r>
            <w:r>
              <w:rPr>
                <w:noProof/>
                <w:webHidden/>
              </w:rPr>
              <w:fldChar w:fldCharType="end"/>
            </w:r>
          </w:hyperlink>
        </w:p>
        <w:p w14:paraId="4592563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2" w:history="1">
            <w:r w:rsidRPr="00A62630">
              <w:rPr>
                <w:rStyle w:val="Hipervnculo"/>
                <w:rFonts w:cs="Arial"/>
                <w:noProof/>
              </w:rPr>
              <w:t>1. PRESENTACIÓN DE ESTADOS FINANCIEROS</w:t>
            </w:r>
            <w:r>
              <w:rPr>
                <w:noProof/>
                <w:webHidden/>
              </w:rPr>
              <w:tab/>
            </w:r>
            <w:r>
              <w:rPr>
                <w:noProof/>
                <w:webHidden/>
              </w:rPr>
              <w:fldChar w:fldCharType="begin"/>
            </w:r>
            <w:r>
              <w:rPr>
                <w:noProof/>
                <w:webHidden/>
              </w:rPr>
              <w:instrText xml:space="preserve"> PAGEREF _Toc525721502 \h </w:instrText>
            </w:r>
            <w:r>
              <w:rPr>
                <w:noProof/>
                <w:webHidden/>
              </w:rPr>
            </w:r>
            <w:r>
              <w:rPr>
                <w:noProof/>
                <w:webHidden/>
              </w:rPr>
              <w:fldChar w:fldCharType="separate"/>
            </w:r>
            <w:r>
              <w:rPr>
                <w:noProof/>
                <w:webHidden/>
              </w:rPr>
              <w:t>87</w:t>
            </w:r>
            <w:r>
              <w:rPr>
                <w:noProof/>
                <w:webHidden/>
              </w:rPr>
              <w:fldChar w:fldCharType="end"/>
            </w:r>
          </w:hyperlink>
        </w:p>
        <w:p w14:paraId="1A01D80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3" w:history="1">
            <w:r w:rsidRPr="00A62630">
              <w:rPr>
                <w:rStyle w:val="Hipervnculo"/>
                <w:rFonts w:cs="Arial"/>
                <w:noProof/>
              </w:rPr>
              <w:t>1.1. Objetivo</w:t>
            </w:r>
            <w:r>
              <w:rPr>
                <w:noProof/>
                <w:webHidden/>
              </w:rPr>
              <w:tab/>
            </w:r>
            <w:r>
              <w:rPr>
                <w:noProof/>
                <w:webHidden/>
              </w:rPr>
              <w:fldChar w:fldCharType="begin"/>
            </w:r>
            <w:r>
              <w:rPr>
                <w:noProof/>
                <w:webHidden/>
              </w:rPr>
              <w:instrText xml:space="preserve"> PAGEREF _Toc525721503 \h </w:instrText>
            </w:r>
            <w:r>
              <w:rPr>
                <w:noProof/>
                <w:webHidden/>
              </w:rPr>
            </w:r>
            <w:r>
              <w:rPr>
                <w:noProof/>
                <w:webHidden/>
              </w:rPr>
              <w:fldChar w:fldCharType="separate"/>
            </w:r>
            <w:r>
              <w:rPr>
                <w:noProof/>
                <w:webHidden/>
              </w:rPr>
              <w:t>87</w:t>
            </w:r>
            <w:r>
              <w:rPr>
                <w:noProof/>
                <w:webHidden/>
              </w:rPr>
              <w:fldChar w:fldCharType="end"/>
            </w:r>
          </w:hyperlink>
        </w:p>
        <w:p w14:paraId="53C8E419"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4" w:history="1">
            <w:r w:rsidRPr="00A62630">
              <w:rPr>
                <w:rStyle w:val="Hipervnculo"/>
                <w:rFonts w:cs="Arial"/>
                <w:noProof/>
              </w:rPr>
              <w:t>1.2. Normatividad relacionada</w:t>
            </w:r>
            <w:r>
              <w:rPr>
                <w:noProof/>
                <w:webHidden/>
              </w:rPr>
              <w:tab/>
            </w:r>
            <w:r>
              <w:rPr>
                <w:noProof/>
                <w:webHidden/>
              </w:rPr>
              <w:fldChar w:fldCharType="begin"/>
            </w:r>
            <w:r>
              <w:rPr>
                <w:noProof/>
                <w:webHidden/>
              </w:rPr>
              <w:instrText xml:space="preserve"> PAGEREF _Toc525721504 \h </w:instrText>
            </w:r>
            <w:r>
              <w:rPr>
                <w:noProof/>
                <w:webHidden/>
              </w:rPr>
            </w:r>
            <w:r>
              <w:rPr>
                <w:noProof/>
                <w:webHidden/>
              </w:rPr>
              <w:fldChar w:fldCharType="separate"/>
            </w:r>
            <w:r>
              <w:rPr>
                <w:noProof/>
                <w:webHidden/>
              </w:rPr>
              <w:t>87</w:t>
            </w:r>
            <w:r>
              <w:rPr>
                <w:noProof/>
                <w:webHidden/>
              </w:rPr>
              <w:fldChar w:fldCharType="end"/>
            </w:r>
          </w:hyperlink>
        </w:p>
        <w:p w14:paraId="5CE37A55"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5" w:history="1">
            <w:r w:rsidRPr="00A62630">
              <w:rPr>
                <w:rStyle w:val="Hipervnculo"/>
                <w:rFonts w:cs="Arial"/>
                <w:noProof/>
              </w:rPr>
              <w:t>1.3. Alcance</w:t>
            </w:r>
            <w:r>
              <w:rPr>
                <w:noProof/>
                <w:webHidden/>
              </w:rPr>
              <w:tab/>
            </w:r>
            <w:r>
              <w:rPr>
                <w:noProof/>
                <w:webHidden/>
              </w:rPr>
              <w:fldChar w:fldCharType="begin"/>
            </w:r>
            <w:r>
              <w:rPr>
                <w:noProof/>
                <w:webHidden/>
              </w:rPr>
              <w:instrText xml:space="preserve"> PAGEREF _Toc525721505 \h </w:instrText>
            </w:r>
            <w:r>
              <w:rPr>
                <w:noProof/>
                <w:webHidden/>
              </w:rPr>
            </w:r>
            <w:r>
              <w:rPr>
                <w:noProof/>
                <w:webHidden/>
              </w:rPr>
              <w:fldChar w:fldCharType="separate"/>
            </w:r>
            <w:r>
              <w:rPr>
                <w:noProof/>
                <w:webHidden/>
              </w:rPr>
              <w:t>88</w:t>
            </w:r>
            <w:r>
              <w:rPr>
                <w:noProof/>
                <w:webHidden/>
              </w:rPr>
              <w:fldChar w:fldCharType="end"/>
            </w:r>
          </w:hyperlink>
        </w:p>
        <w:p w14:paraId="1DD8F442"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6" w:history="1">
            <w:r w:rsidRPr="00A62630">
              <w:rPr>
                <w:rStyle w:val="Hipervnculo"/>
                <w:rFonts w:cs="Arial"/>
                <w:noProof/>
              </w:rPr>
              <w:t>1.4. Política contable general</w:t>
            </w:r>
            <w:r>
              <w:rPr>
                <w:noProof/>
                <w:webHidden/>
              </w:rPr>
              <w:tab/>
            </w:r>
            <w:r>
              <w:rPr>
                <w:noProof/>
                <w:webHidden/>
              </w:rPr>
              <w:fldChar w:fldCharType="begin"/>
            </w:r>
            <w:r>
              <w:rPr>
                <w:noProof/>
                <w:webHidden/>
              </w:rPr>
              <w:instrText xml:space="preserve"> PAGEREF _Toc525721506 \h </w:instrText>
            </w:r>
            <w:r>
              <w:rPr>
                <w:noProof/>
                <w:webHidden/>
              </w:rPr>
            </w:r>
            <w:r>
              <w:rPr>
                <w:noProof/>
                <w:webHidden/>
              </w:rPr>
              <w:fldChar w:fldCharType="separate"/>
            </w:r>
            <w:r>
              <w:rPr>
                <w:noProof/>
                <w:webHidden/>
              </w:rPr>
              <w:t>88</w:t>
            </w:r>
            <w:r>
              <w:rPr>
                <w:noProof/>
                <w:webHidden/>
              </w:rPr>
              <w:fldChar w:fldCharType="end"/>
            </w:r>
          </w:hyperlink>
        </w:p>
        <w:p w14:paraId="271F589A"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7" w:history="1">
            <w:r w:rsidRPr="00A62630">
              <w:rPr>
                <w:rStyle w:val="Hipervnculo"/>
                <w:rFonts w:cs="Arial"/>
                <w:noProof/>
              </w:rPr>
              <w:t>1.5. Finalidad de los estados financieros</w:t>
            </w:r>
            <w:r>
              <w:rPr>
                <w:noProof/>
                <w:webHidden/>
              </w:rPr>
              <w:tab/>
            </w:r>
            <w:r>
              <w:rPr>
                <w:noProof/>
                <w:webHidden/>
              </w:rPr>
              <w:fldChar w:fldCharType="begin"/>
            </w:r>
            <w:r>
              <w:rPr>
                <w:noProof/>
                <w:webHidden/>
              </w:rPr>
              <w:instrText xml:space="preserve"> PAGEREF _Toc525721507 \h </w:instrText>
            </w:r>
            <w:r>
              <w:rPr>
                <w:noProof/>
                <w:webHidden/>
              </w:rPr>
            </w:r>
            <w:r>
              <w:rPr>
                <w:noProof/>
                <w:webHidden/>
              </w:rPr>
              <w:fldChar w:fldCharType="separate"/>
            </w:r>
            <w:r>
              <w:rPr>
                <w:noProof/>
                <w:webHidden/>
              </w:rPr>
              <w:t>88</w:t>
            </w:r>
            <w:r>
              <w:rPr>
                <w:noProof/>
                <w:webHidden/>
              </w:rPr>
              <w:fldChar w:fldCharType="end"/>
            </w:r>
          </w:hyperlink>
        </w:p>
        <w:p w14:paraId="7896D08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8" w:history="1">
            <w:r w:rsidRPr="00A62630">
              <w:rPr>
                <w:rStyle w:val="Hipervnculo"/>
                <w:rFonts w:cs="Arial"/>
                <w:noProof/>
              </w:rPr>
              <w:t>1.6. Conjunto completo de estados financieros</w:t>
            </w:r>
            <w:r>
              <w:rPr>
                <w:noProof/>
                <w:webHidden/>
              </w:rPr>
              <w:tab/>
            </w:r>
            <w:r>
              <w:rPr>
                <w:noProof/>
                <w:webHidden/>
              </w:rPr>
              <w:fldChar w:fldCharType="begin"/>
            </w:r>
            <w:r>
              <w:rPr>
                <w:noProof/>
                <w:webHidden/>
              </w:rPr>
              <w:instrText xml:space="preserve"> PAGEREF _Toc525721508 \h </w:instrText>
            </w:r>
            <w:r>
              <w:rPr>
                <w:noProof/>
                <w:webHidden/>
              </w:rPr>
            </w:r>
            <w:r>
              <w:rPr>
                <w:noProof/>
                <w:webHidden/>
              </w:rPr>
              <w:fldChar w:fldCharType="separate"/>
            </w:r>
            <w:r>
              <w:rPr>
                <w:noProof/>
                <w:webHidden/>
              </w:rPr>
              <w:t>88</w:t>
            </w:r>
            <w:r>
              <w:rPr>
                <w:noProof/>
                <w:webHidden/>
              </w:rPr>
              <w:fldChar w:fldCharType="end"/>
            </w:r>
          </w:hyperlink>
        </w:p>
        <w:p w14:paraId="4CC9C66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09" w:history="1">
            <w:r w:rsidRPr="00A62630">
              <w:rPr>
                <w:rStyle w:val="Hipervnculo"/>
                <w:rFonts w:cs="Arial"/>
                <w:noProof/>
              </w:rPr>
              <w:t>1.7. Estructura y contenido de los estados financieros</w:t>
            </w:r>
            <w:r>
              <w:rPr>
                <w:noProof/>
                <w:webHidden/>
              </w:rPr>
              <w:tab/>
            </w:r>
            <w:r>
              <w:rPr>
                <w:noProof/>
                <w:webHidden/>
              </w:rPr>
              <w:fldChar w:fldCharType="begin"/>
            </w:r>
            <w:r>
              <w:rPr>
                <w:noProof/>
                <w:webHidden/>
              </w:rPr>
              <w:instrText xml:space="preserve"> PAGEREF _Toc525721509 \h </w:instrText>
            </w:r>
            <w:r>
              <w:rPr>
                <w:noProof/>
                <w:webHidden/>
              </w:rPr>
            </w:r>
            <w:r>
              <w:rPr>
                <w:noProof/>
                <w:webHidden/>
              </w:rPr>
              <w:fldChar w:fldCharType="separate"/>
            </w:r>
            <w:r>
              <w:rPr>
                <w:noProof/>
                <w:webHidden/>
              </w:rPr>
              <w:t>89</w:t>
            </w:r>
            <w:r>
              <w:rPr>
                <w:noProof/>
                <w:webHidden/>
              </w:rPr>
              <w:fldChar w:fldCharType="end"/>
            </w:r>
          </w:hyperlink>
        </w:p>
        <w:p w14:paraId="73CDE3E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0" w:history="1">
            <w:r w:rsidRPr="00A62630">
              <w:rPr>
                <w:rStyle w:val="Hipervnculo"/>
                <w:rFonts w:cs="Arial"/>
                <w:noProof/>
              </w:rPr>
              <w:t>2. POLÍTICAS CONTABLES, CAMBIOS EN LAS ESTIMACIONES CONTABLES Y CORRECCIÓN DE ERRORES</w:t>
            </w:r>
            <w:r>
              <w:rPr>
                <w:noProof/>
                <w:webHidden/>
              </w:rPr>
              <w:tab/>
            </w:r>
            <w:r>
              <w:rPr>
                <w:noProof/>
                <w:webHidden/>
              </w:rPr>
              <w:fldChar w:fldCharType="begin"/>
            </w:r>
            <w:r>
              <w:rPr>
                <w:noProof/>
                <w:webHidden/>
              </w:rPr>
              <w:instrText xml:space="preserve"> PAGEREF _Toc525721510 \h </w:instrText>
            </w:r>
            <w:r>
              <w:rPr>
                <w:noProof/>
                <w:webHidden/>
              </w:rPr>
            </w:r>
            <w:r>
              <w:rPr>
                <w:noProof/>
                <w:webHidden/>
              </w:rPr>
              <w:fldChar w:fldCharType="separate"/>
            </w:r>
            <w:r>
              <w:rPr>
                <w:noProof/>
                <w:webHidden/>
              </w:rPr>
              <w:t>97</w:t>
            </w:r>
            <w:r>
              <w:rPr>
                <w:noProof/>
                <w:webHidden/>
              </w:rPr>
              <w:fldChar w:fldCharType="end"/>
            </w:r>
          </w:hyperlink>
        </w:p>
        <w:p w14:paraId="3CAC86A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1" w:history="1">
            <w:r w:rsidRPr="00A62630">
              <w:rPr>
                <w:rStyle w:val="Hipervnculo"/>
                <w:rFonts w:cs="Arial"/>
                <w:noProof/>
              </w:rPr>
              <w:t>2.1. Políticas contables</w:t>
            </w:r>
            <w:r>
              <w:rPr>
                <w:noProof/>
                <w:webHidden/>
              </w:rPr>
              <w:tab/>
            </w:r>
            <w:r>
              <w:rPr>
                <w:noProof/>
                <w:webHidden/>
              </w:rPr>
              <w:fldChar w:fldCharType="begin"/>
            </w:r>
            <w:r>
              <w:rPr>
                <w:noProof/>
                <w:webHidden/>
              </w:rPr>
              <w:instrText xml:space="preserve"> PAGEREF _Toc525721511 \h </w:instrText>
            </w:r>
            <w:r>
              <w:rPr>
                <w:noProof/>
                <w:webHidden/>
              </w:rPr>
            </w:r>
            <w:r>
              <w:rPr>
                <w:noProof/>
                <w:webHidden/>
              </w:rPr>
              <w:fldChar w:fldCharType="separate"/>
            </w:r>
            <w:r>
              <w:rPr>
                <w:noProof/>
                <w:webHidden/>
              </w:rPr>
              <w:t>97</w:t>
            </w:r>
            <w:r>
              <w:rPr>
                <w:noProof/>
                <w:webHidden/>
              </w:rPr>
              <w:fldChar w:fldCharType="end"/>
            </w:r>
          </w:hyperlink>
        </w:p>
        <w:p w14:paraId="41B7ADE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2" w:history="1">
            <w:r w:rsidRPr="00A62630">
              <w:rPr>
                <w:rStyle w:val="Hipervnculo"/>
                <w:rFonts w:cs="Arial"/>
                <w:noProof/>
              </w:rPr>
              <w:t>2.2. Cambios en una estimación contable</w:t>
            </w:r>
            <w:r>
              <w:rPr>
                <w:noProof/>
                <w:webHidden/>
              </w:rPr>
              <w:tab/>
            </w:r>
            <w:r>
              <w:rPr>
                <w:noProof/>
                <w:webHidden/>
              </w:rPr>
              <w:fldChar w:fldCharType="begin"/>
            </w:r>
            <w:r>
              <w:rPr>
                <w:noProof/>
                <w:webHidden/>
              </w:rPr>
              <w:instrText xml:space="preserve"> PAGEREF _Toc525721512 \h </w:instrText>
            </w:r>
            <w:r>
              <w:rPr>
                <w:noProof/>
                <w:webHidden/>
              </w:rPr>
            </w:r>
            <w:r>
              <w:rPr>
                <w:noProof/>
                <w:webHidden/>
              </w:rPr>
              <w:fldChar w:fldCharType="separate"/>
            </w:r>
            <w:r>
              <w:rPr>
                <w:noProof/>
                <w:webHidden/>
              </w:rPr>
              <w:t>98</w:t>
            </w:r>
            <w:r>
              <w:rPr>
                <w:noProof/>
                <w:webHidden/>
              </w:rPr>
              <w:fldChar w:fldCharType="end"/>
            </w:r>
          </w:hyperlink>
        </w:p>
        <w:p w14:paraId="3E9872C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3" w:history="1">
            <w:r w:rsidRPr="00A62630">
              <w:rPr>
                <w:rStyle w:val="Hipervnculo"/>
                <w:rFonts w:cs="Arial"/>
                <w:noProof/>
              </w:rPr>
              <w:t>2.3. Corrección de errores de periodos anteriores</w:t>
            </w:r>
            <w:r>
              <w:rPr>
                <w:noProof/>
                <w:webHidden/>
              </w:rPr>
              <w:tab/>
            </w:r>
            <w:r>
              <w:rPr>
                <w:noProof/>
                <w:webHidden/>
              </w:rPr>
              <w:fldChar w:fldCharType="begin"/>
            </w:r>
            <w:r>
              <w:rPr>
                <w:noProof/>
                <w:webHidden/>
              </w:rPr>
              <w:instrText xml:space="preserve"> PAGEREF _Toc525721513 \h </w:instrText>
            </w:r>
            <w:r>
              <w:rPr>
                <w:noProof/>
                <w:webHidden/>
              </w:rPr>
            </w:r>
            <w:r>
              <w:rPr>
                <w:noProof/>
                <w:webHidden/>
              </w:rPr>
              <w:fldChar w:fldCharType="separate"/>
            </w:r>
            <w:r>
              <w:rPr>
                <w:noProof/>
                <w:webHidden/>
              </w:rPr>
              <w:t>99</w:t>
            </w:r>
            <w:r>
              <w:rPr>
                <w:noProof/>
                <w:webHidden/>
              </w:rPr>
              <w:fldChar w:fldCharType="end"/>
            </w:r>
          </w:hyperlink>
        </w:p>
        <w:p w14:paraId="79791F8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4" w:history="1">
            <w:r w:rsidRPr="00A62630">
              <w:rPr>
                <w:rStyle w:val="Hipervnculo"/>
                <w:rFonts w:cs="Arial"/>
                <w:noProof/>
              </w:rPr>
              <w:t>3. HECHOS OCURRIDOS DESPUÉS DEL PERIODO CONTABLE</w:t>
            </w:r>
            <w:r>
              <w:rPr>
                <w:noProof/>
                <w:webHidden/>
              </w:rPr>
              <w:tab/>
            </w:r>
            <w:r>
              <w:rPr>
                <w:noProof/>
                <w:webHidden/>
              </w:rPr>
              <w:fldChar w:fldCharType="begin"/>
            </w:r>
            <w:r>
              <w:rPr>
                <w:noProof/>
                <w:webHidden/>
              </w:rPr>
              <w:instrText xml:space="preserve"> PAGEREF _Toc525721514 \h </w:instrText>
            </w:r>
            <w:r>
              <w:rPr>
                <w:noProof/>
                <w:webHidden/>
              </w:rPr>
            </w:r>
            <w:r>
              <w:rPr>
                <w:noProof/>
                <w:webHidden/>
              </w:rPr>
              <w:fldChar w:fldCharType="separate"/>
            </w:r>
            <w:r>
              <w:rPr>
                <w:noProof/>
                <w:webHidden/>
              </w:rPr>
              <w:t>101</w:t>
            </w:r>
            <w:r>
              <w:rPr>
                <w:noProof/>
                <w:webHidden/>
              </w:rPr>
              <w:fldChar w:fldCharType="end"/>
            </w:r>
          </w:hyperlink>
        </w:p>
        <w:p w14:paraId="36BB5DF4"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5" w:history="1">
            <w:r w:rsidRPr="00A62630">
              <w:rPr>
                <w:rStyle w:val="Hipervnculo"/>
                <w:rFonts w:cs="Arial"/>
                <w:noProof/>
              </w:rPr>
              <w:t>3.1. Hechos ocurridos después del periodo contable que implican ajuste</w:t>
            </w:r>
            <w:r>
              <w:rPr>
                <w:noProof/>
                <w:webHidden/>
              </w:rPr>
              <w:tab/>
            </w:r>
            <w:r>
              <w:rPr>
                <w:noProof/>
                <w:webHidden/>
              </w:rPr>
              <w:fldChar w:fldCharType="begin"/>
            </w:r>
            <w:r>
              <w:rPr>
                <w:noProof/>
                <w:webHidden/>
              </w:rPr>
              <w:instrText xml:space="preserve"> PAGEREF _Toc525721515 \h </w:instrText>
            </w:r>
            <w:r>
              <w:rPr>
                <w:noProof/>
                <w:webHidden/>
              </w:rPr>
            </w:r>
            <w:r>
              <w:rPr>
                <w:noProof/>
                <w:webHidden/>
              </w:rPr>
              <w:fldChar w:fldCharType="separate"/>
            </w:r>
            <w:r>
              <w:rPr>
                <w:noProof/>
                <w:webHidden/>
              </w:rPr>
              <w:t>101</w:t>
            </w:r>
            <w:r>
              <w:rPr>
                <w:noProof/>
                <w:webHidden/>
              </w:rPr>
              <w:fldChar w:fldCharType="end"/>
            </w:r>
          </w:hyperlink>
        </w:p>
        <w:p w14:paraId="4D10204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6" w:history="1">
            <w:r w:rsidRPr="00A62630">
              <w:rPr>
                <w:rStyle w:val="Hipervnculo"/>
                <w:rFonts w:cs="Arial"/>
                <w:noProof/>
              </w:rPr>
              <w:t>3.2. Hechos ocurridos después del periodo contable que no implican ajuste</w:t>
            </w:r>
            <w:r>
              <w:rPr>
                <w:noProof/>
                <w:webHidden/>
              </w:rPr>
              <w:tab/>
            </w:r>
            <w:r>
              <w:rPr>
                <w:noProof/>
                <w:webHidden/>
              </w:rPr>
              <w:fldChar w:fldCharType="begin"/>
            </w:r>
            <w:r>
              <w:rPr>
                <w:noProof/>
                <w:webHidden/>
              </w:rPr>
              <w:instrText xml:space="preserve"> PAGEREF _Toc525721516 \h </w:instrText>
            </w:r>
            <w:r>
              <w:rPr>
                <w:noProof/>
                <w:webHidden/>
              </w:rPr>
            </w:r>
            <w:r>
              <w:rPr>
                <w:noProof/>
                <w:webHidden/>
              </w:rPr>
              <w:fldChar w:fldCharType="separate"/>
            </w:r>
            <w:r>
              <w:rPr>
                <w:noProof/>
                <w:webHidden/>
              </w:rPr>
              <w:t>102</w:t>
            </w:r>
            <w:r>
              <w:rPr>
                <w:noProof/>
                <w:webHidden/>
              </w:rPr>
              <w:fldChar w:fldCharType="end"/>
            </w:r>
          </w:hyperlink>
        </w:p>
        <w:p w14:paraId="7EB3E876"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7" w:history="1">
            <w:r w:rsidRPr="00A62630">
              <w:rPr>
                <w:rStyle w:val="Hipervnculo"/>
                <w:rFonts w:cs="Arial"/>
                <w:noProof/>
              </w:rPr>
              <w:t>3.3. Revelaciones</w:t>
            </w:r>
            <w:r>
              <w:rPr>
                <w:noProof/>
                <w:webHidden/>
              </w:rPr>
              <w:tab/>
            </w:r>
            <w:r>
              <w:rPr>
                <w:noProof/>
                <w:webHidden/>
              </w:rPr>
              <w:fldChar w:fldCharType="begin"/>
            </w:r>
            <w:r>
              <w:rPr>
                <w:noProof/>
                <w:webHidden/>
              </w:rPr>
              <w:instrText xml:space="preserve"> PAGEREF _Toc525721517 \h </w:instrText>
            </w:r>
            <w:r>
              <w:rPr>
                <w:noProof/>
                <w:webHidden/>
              </w:rPr>
            </w:r>
            <w:r>
              <w:rPr>
                <w:noProof/>
                <w:webHidden/>
              </w:rPr>
              <w:fldChar w:fldCharType="separate"/>
            </w:r>
            <w:r>
              <w:rPr>
                <w:noProof/>
                <w:webHidden/>
              </w:rPr>
              <w:t>102</w:t>
            </w:r>
            <w:r>
              <w:rPr>
                <w:noProof/>
                <w:webHidden/>
              </w:rPr>
              <w:fldChar w:fldCharType="end"/>
            </w:r>
          </w:hyperlink>
        </w:p>
        <w:p w14:paraId="56E9E370"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8" w:history="1">
            <w:r w:rsidRPr="00A62630">
              <w:rPr>
                <w:rStyle w:val="Hipervnculo"/>
                <w:rFonts w:cs="Arial"/>
                <w:noProof/>
              </w:rPr>
              <w:t>CAPÍTULO IX. INDICADORES FINANCIEROS</w:t>
            </w:r>
            <w:r>
              <w:rPr>
                <w:noProof/>
                <w:webHidden/>
              </w:rPr>
              <w:tab/>
            </w:r>
            <w:r>
              <w:rPr>
                <w:noProof/>
                <w:webHidden/>
              </w:rPr>
              <w:fldChar w:fldCharType="begin"/>
            </w:r>
            <w:r>
              <w:rPr>
                <w:noProof/>
                <w:webHidden/>
              </w:rPr>
              <w:instrText xml:space="preserve"> PAGEREF _Toc525721518 \h </w:instrText>
            </w:r>
            <w:r>
              <w:rPr>
                <w:noProof/>
                <w:webHidden/>
              </w:rPr>
            </w:r>
            <w:r>
              <w:rPr>
                <w:noProof/>
                <w:webHidden/>
              </w:rPr>
              <w:fldChar w:fldCharType="separate"/>
            </w:r>
            <w:r>
              <w:rPr>
                <w:noProof/>
                <w:webHidden/>
              </w:rPr>
              <w:t>103</w:t>
            </w:r>
            <w:r>
              <w:rPr>
                <w:noProof/>
                <w:webHidden/>
              </w:rPr>
              <w:fldChar w:fldCharType="end"/>
            </w:r>
          </w:hyperlink>
        </w:p>
        <w:p w14:paraId="65C7212B"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19" w:history="1">
            <w:r w:rsidRPr="00A62630">
              <w:rPr>
                <w:rStyle w:val="Hipervnculo"/>
                <w:rFonts w:cs="Arial"/>
                <w:noProof/>
              </w:rPr>
              <w:t>1. INDICADORES DE GESTIÓN FINANCIERA</w:t>
            </w:r>
            <w:r>
              <w:rPr>
                <w:noProof/>
                <w:webHidden/>
              </w:rPr>
              <w:tab/>
            </w:r>
            <w:r>
              <w:rPr>
                <w:noProof/>
                <w:webHidden/>
              </w:rPr>
              <w:fldChar w:fldCharType="begin"/>
            </w:r>
            <w:r>
              <w:rPr>
                <w:noProof/>
                <w:webHidden/>
              </w:rPr>
              <w:instrText xml:space="preserve"> PAGEREF _Toc525721519 \h </w:instrText>
            </w:r>
            <w:r>
              <w:rPr>
                <w:noProof/>
                <w:webHidden/>
              </w:rPr>
            </w:r>
            <w:r>
              <w:rPr>
                <w:noProof/>
                <w:webHidden/>
              </w:rPr>
              <w:fldChar w:fldCharType="separate"/>
            </w:r>
            <w:r>
              <w:rPr>
                <w:noProof/>
                <w:webHidden/>
              </w:rPr>
              <w:t>103</w:t>
            </w:r>
            <w:r>
              <w:rPr>
                <w:noProof/>
                <w:webHidden/>
              </w:rPr>
              <w:fldChar w:fldCharType="end"/>
            </w:r>
          </w:hyperlink>
        </w:p>
        <w:p w14:paraId="2350548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0" w:history="1">
            <w:r w:rsidRPr="00A62630">
              <w:rPr>
                <w:rStyle w:val="Hipervnculo"/>
                <w:rFonts w:cs="Arial"/>
                <w:noProof/>
              </w:rPr>
              <w:t>1.1. Objetivo</w:t>
            </w:r>
            <w:r>
              <w:rPr>
                <w:noProof/>
                <w:webHidden/>
              </w:rPr>
              <w:tab/>
            </w:r>
            <w:r>
              <w:rPr>
                <w:noProof/>
                <w:webHidden/>
              </w:rPr>
              <w:fldChar w:fldCharType="begin"/>
            </w:r>
            <w:r>
              <w:rPr>
                <w:noProof/>
                <w:webHidden/>
              </w:rPr>
              <w:instrText xml:space="preserve"> PAGEREF _Toc525721520 \h </w:instrText>
            </w:r>
            <w:r>
              <w:rPr>
                <w:noProof/>
                <w:webHidden/>
              </w:rPr>
            </w:r>
            <w:r>
              <w:rPr>
                <w:noProof/>
                <w:webHidden/>
              </w:rPr>
              <w:fldChar w:fldCharType="separate"/>
            </w:r>
            <w:r>
              <w:rPr>
                <w:noProof/>
                <w:webHidden/>
              </w:rPr>
              <w:t>103</w:t>
            </w:r>
            <w:r>
              <w:rPr>
                <w:noProof/>
                <w:webHidden/>
              </w:rPr>
              <w:fldChar w:fldCharType="end"/>
            </w:r>
          </w:hyperlink>
        </w:p>
        <w:p w14:paraId="5BC773B7"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1" w:history="1">
            <w:r w:rsidRPr="00A62630">
              <w:rPr>
                <w:rStyle w:val="Hipervnculo"/>
                <w:rFonts w:cs="Arial"/>
                <w:noProof/>
              </w:rPr>
              <w:t>1.2. Normatividad relacionada</w:t>
            </w:r>
            <w:r>
              <w:rPr>
                <w:noProof/>
                <w:webHidden/>
              </w:rPr>
              <w:tab/>
            </w:r>
            <w:r>
              <w:rPr>
                <w:noProof/>
                <w:webHidden/>
              </w:rPr>
              <w:fldChar w:fldCharType="begin"/>
            </w:r>
            <w:r>
              <w:rPr>
                <w:noProof/>
                <w:webHidden/>
              </w:rPr>
              <w:instrText xml:space="preserve"> PAGEREF _Toc525721521 \h </w:instrText>
            </w:r>
            <w:r>
              <w:rPr>
                <w:noProof/>
                <w:webHidden/>
              </w:rPr>
            </w:r>
            <w:r>
              <w:rPr>
                <w:noProof/>
                <w:webHidden/>
              </w:rPr>
              <w:fldChar w:fldCharType="separate"/>
            </w:r>
            <w:r>
              <w:rPr>
                <w:noProof/>
                <w:webHidden/>
              </w:rPr>
              <w:t>103</w:t>
            </w:r>
            <w:r>
              <w:rPr>
                <w:noProof/>
                <w:webHidden/>
              </w:rPr>
              <w:fldChar w:fldCharType="end"/>
            </w:r>
          </w:hyperlink>
        </w:p>
        <w:p w14:paraId="0DAF27EC"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2" w:history="1">
            <w:r w:rsidRPr="00A62630">
              <w:rPr>
                <w:rStyle w:val="Hipervnculo"/>
                <w:rFonts w:cs="Arial"/>
                <w:noProof/>
              </w:rPr>
              <w:t>1.3. Alcance</w:t>
            </w:r>
            <w:r>
              <w:rPr>
                <w:noProof/>
                <w:webHidden/>
              </w:rPr>
              <w:tab/>
            </w:r>
            <w:r>
              <w:rPr>
                <w:noProof/>
                <w:webHidden/>
              </w:rPr>
              <w:fldChar w:fldCharType="begin"/>
            </w:r>
            <w:r>
              <w:rPr>
                <w:noProof/>
                <w:webHidden/>
              </w:rPr>
              <w:instrText xml:space="preserve"> PAGEREF _Toc525721522 \h </w:instrText>
            </w:r>
            <w:r>
              <w:rPr>
                <w:noProof/>
                <w:webHidden/>
              </w:rPr>
            </w:r>
            <w:r>
              <w:rPr>
                <w:noProof/>
                <w:webHidden/>
              </w:rPr>
              <w:fldChar w:fldCharType="separate"/>
            </w:r>
            <w:r>
              <w:rPr>
                <w:noProof/>
                <w:webHidden/>
              </w:rPr>
              <w:t>103</w:t>
            </w:r>
            <w:r>
              <w:rPr>
                <w:noProof/>
                <w:webHidden/>
              </w:rPr>
              <w:fldChar w:fldCharType="end"/>
            </w:r>
          </w:hyperlink>
        </w:p>
        <w:p w14:paraId="139B468E"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3" w:history="1">
            <w:r w:rsidRPr="00A62630">
              <w:rPr>
                <w:rStyle w:val="Hipervnculo"/>
                <w:rFonts w:cs="Arial"/>
                <w:noProof/>
              </w:rPr>
              <w:t>1.4. Política contable general</w:t>
            </w:r>
            <w:r>
              <w:rPr>
                <w:noProof/>
                <w:webHidden/>
              </w:rPr>
              <w:tab/>
            </w:r>
            <w:r>
              <w:rPr>
                <w:noProof/>
                <w:webHidden/>
              </w:rPr>
              <w:fldChar w:fldCharType="begin"/>
            </w:r>
            <w:r>
              <w:rPr>
                <w:noProof/>
                <w:webHidden/>
              </w:rPr>
              <w:instrText xml:space="preserve"> PAGEREF _Toc525721523 \h </w:instrText>
            </w:r>
            <w:r>
              <w:rPr>
                <w:noProof/>
                <w:webHidden/>
              </w:rPr>
            </w:r>
            <w:r>
              <w:rPr>
                <w:noProof/>
                <w:webHidden/>
              </w:rPr>
              <w:fldChar w:fldCharType="separate"/>
            </w:r>
            <w:r>
              <w:rPr>
                <w:noProof/>
                <w:webHidden/>
              </w:rPr>
              <w:t>103</w:t>
            </w:r>
            <w:r>
              <w:rPr>
                <w:noProof/>
                <w:webHidden/>
              </w:rPr>
              <w:fldChar w:fldCharType="end"/>
            </w:r>
          </w:hyperlink>
        </w:p>
        <w:p w14:paraId="46EE6371"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4" w:history="1">
            <w:r w:rsidRPr="00A62630">
              <w:rPr>
                <w:rStyle w:val="Hipervnculo"/>
                <w:rFonts w:cs="Arial"/>
                <w:noProof/>
              </w:rPr>
              <w:t>1.5. Indicadores de gestión financiera</w:t>
            </w:r>
            <w:r>
              <w:rPr>
                <w:noProof/>
                <w:webHidden/>
              </w:rPr>
              <w:tab/>
            </w:r>
            <w:r>
              <w:rPr>
                <w:noProof/>
                <w:webHidden/>
              </w:rPr>
              <w:fldChar w:fldCharType="begin"/>
            </w:r>
            <w:r>
              <w:rPr>
                <w:noProof/>
                <w:webHidden/>
              </w:rPr>
              <w:instrText xml:space="preserve"> PAGEREF _Toc525721524 \h </w:instrText>
            </w:r>
            <w:r>
              <w:rPr>
                <w:noProof/>
                <w:webHidden/>
              </w:rPr>
            </w:r>
            <w:r>
              <w:rPr>
                <w:noProof/>
                <w:webHidden/>
              </w:rPr>
              <w:fldChar w:fldCharType="separate"/>
            </w:r>
            <w:r>
              <w:rPr>
                <w:noProof/>
                <w:webHidden/>
              </w:rPr>
              <w:t>103</w:t>
            </w:r>
            <w:r>
              <w:rPr>
                <w:noProof/>
                <w:webHidden/>
              </w:rPr>
              <w:fldChar w:fldCharType="end"/>
            </w:r>
          </w:hyperlink>
        </w:p>
        <w:p w14:paraId="4269C62F" w14:textId="77777777" w:rsidR="00DE5FA4" w:rsidRDefault="00DE5FA4">
          <w:pPr>
            <w:pStyle w:val="TDC1"/>
            <w:tabs>
              <w:tab w:val="right" w:pos="8830"/>
            </w:tabs>
            <w:rPr>
              <w:rFonts w:asciiTheme="minorHAnsi" w:eastAsiaTheme="minorEastAsia" w:hAnsiTheme="minorHAnsi" w:cstheme="minorBidi"/>
              <w:noProof/>
              <w:szCs w:val="22"/>
              <w:lang w:eastAsia="es-CO"/>
            </w:rPr>
          </w:pPr>
          <w:hyperlink w:anchor="_Toc525721525" w:history="1">
            <w:r w:rsidRPr="00A62630">
              <w:rPr>
                <w:rStyle w:val="Hipervnculo"/>
                <w:rFonts w:cs="Arial"/>
                <w:noProof/>
              </w:rPr>
              <w:t>CONTROL DE CAMBIOS</w:t>
            </w:r>
            <w:r>
              <w:rPr>
                <w:noProof/>
                <w:webHidden/>
              </w:rPr>
              <w:tab/>
            </w:r>
            <w:r>
              <w:rPr>
                <w:noProof/>
                <w:webHidden/>
              </w:rPr>
              <w:fldChar w:fldCharType="begin"/>
            </w:r>
            <w:r>
              <w:rPr>
                <w:noProof/>
                <w:webHidden/>
              </w:rPr>
              <w:instrText xml:space="preserve"> PAGEREF _Toc525721525 \h </w:instrText>
            </w:r>
            <w:r>
              <w:rPr>
                <w:noProof/>
                <w:webHidden/>
              </w:rPr>
            </w:r>
            <w:r>
              <w:rPr>
                <w:noProof/>
                <w:webHidden/>
              </w:rPr>
              <w:fldChar w:fldCharType="separate"/>
            </w:r>
            <w:r>
              <w:rPr>
                <w:noProof/>
                <w:webHidden/>
              </w:rPr>
              <w:t>105</w:t>
            </w:r>
            <w:r>
              <w:rPr>
                <w:noProof/>
                <w:webHidden/>
              </w:rPr>
              <w:fldChar w:fldCharType="end"/>
            </w:r>
          </w:hyperlink>
        </w:p>
        <w:p w14:paraId="6EE4D4A2" w14:textId="77777777" w:rsidR="00F53AB1" w:rsidRPr="00A85FEA" w:rsidRDefault="00F53AB1" w:rsidP="00D87929">
          <w:pPr>
            <w:rPr>
              <w:rFonts w:cs="Arial"/>
              <w:szCs w:val="22"/>
            </w:rPr>
          </w:pPr>
          <w:r w:rsidRPr="00A85FEA">
            <w:rPr>
              <w:rFonts w:cs="Arial"/>
              <w:bCs/>
              <w:szCs w:val="22"/>
              <w:lang w:val="es-ES"/>
            </w:rPr>
            <w:fldChar w:fldCharType="end"/>
          </w:r>
        </w:p>
      </w:sdtContent>
    </w:sdt>
    <w:p w14:paraId="5BBE49B4" w14:textId="77777777" w:rsidR="00F53AB1" w:rsidRPr="00A85FEA" w:rsidRDefault="00F53AB1" w:rsidP="00D87929">
      <w:pPr>
        <w:rPr>
          <w:rFonts w:cs="Arial"/>
          <w:szCs w:val="22"/>
        </w:rPr>
      </w:pPr>
    </w:p>
    <w:p w14:paraId="2E1E6C29" w14:textId="77777777" w:rsidR="00F53AB1" w:rsidRPr="00A85FEA" w:rsidRDefault="00F53AB1" w:rsidP="00D87929">
      <w:pPr>
        <w:pStyle w:val="Ttulo1"/>
        <w:jc w:val="center"/>
        <w:rPr>
          <w:rFonts w:ascii="Arial" w:hAnsi="Arial" w:cs="Arial"/>
          <w:color w:val="auto"/>
          <w:sz w:val="22"/>
          <w:szCs w:val="22"/>
        </w:rPr>
      </w:pPr>
      <w:bookmarkStart w:id="0" w:name="_Toc525721300"/>
      <w:r w:rsidRPr="00A85FEA">
        <w:rPr>
          <w:rFonts w:ascii="Arial" w:hAnsi="Arial" w:cs="Arial"/>
          <w:color w:val="auto"/>
          <w:sz w:val="22"/>
          <w:szCs w:val="22"/>
        </w:rPr>
        <w:t>INFORMACION DOCUMENTAL</w:t>
      </w:r>
      <w:bookmarkEnd w:id="0"/>
    </w:p>
    <w:p w14:paraId="60283EB4" w14:textId="77777777" w:rsidR="00F53AB1" w:rsidRPr="00A85FEA" w:rsidRDefault="00F53AB1" w:rsidP="00D87929">
      <w:pPr>
        <w:rPr>
          <w:rFonts w:cs="Arial"/>
          <w:szCs w:val="22"/>
        </w:rPr>
      </w:pPr>
    </w:p>
    <w:p w14:paraId="02FA691E" w14:textId="77777777" w:rsidR="00F53AB1" w:rsidRPr="00A85FEA" w:rsidRDefault="00F53AB1" w:rsidP="00D87929">
      <w:pPr>
        <w:rPr>
          <w:rFonts w:cs="Arial"/>
          <w:szCs w:val="22"/>
        </w:rPr>
      </w:pPr>
    </w:p>
    <w:tbl>
      <w:tblPr>
        <w:tblStyle w:val="Tablaconcuadrcula"/>
        <w:tblW w:w="9493" w:type="dxa"/>
        <w:tblLook w:val="04A0" w:firstRow="1" w:lastRow="0" w:firstColumn="1" w:lastColumn="0" w:noHBand="0" w:noVBand="1"/>
      </w:tblPr>
      <w:tblGrid>
        <w:gridCol w:w="3823"/>
        <w:gridCol w:w="5670"/>
      </w:tblGrid>
      <w:tr w:rsidR="00F53AB1" w:rsidRPr="00A85FEA" w14:paraId="0C99DC06" w14:textId="77777777" w:rsidTr="003A339B">
        <w:tc>
          <w:tcPr>
            <w:tcW w:w="9493" w:type="dxa"/>
            <w:gridSpan w:val="2"/>
            <w:shd w:val="clear" w:color="auto" w:fill="365F91" w:themeFill="accent1" w:themeFillShade="BF"/>
          </w:tcPr>
          <w:p w14:paraId="5B9F62B0" w14:textId="77777777" w:rsidR="00F53AB1" w:rsidRPr="00A85FEA" w:rsidRDefault="00F53AB1" w:rsidP="00D87929">
            <w:pPr>
              <w:rPr>
                <w:rFonts w:cs="Arial"/>
                <w:szCs w:val="22"/>
              </w:rPr>
            </w:pPr>
            <w:r w:rsidRPr="00A85FEA">
              <w:rPr>
                <w:rFonts w:cs="Arial"/>
                <w:szCs w:val="22"/>
              </w:rPr>
              <w:t>HISTORIA DEL DOCUMENTO</w:t>
            </w:r>
          </w:p>
        </w:tc>
      </w:tr>
      <w:tr w:rsidR="00F53AB1" w:rsidRPr="00A85FEA" w14:paraId="4CE24939" w14:textId="77777777" w:rsidTr="003A339B">
        <w:tc>
          <w:tcPr>
            <w:tcW w:w="3823" w:type="dxa"/>
            <w:shd w:val="clear" w:color="auto" w:fill="95B3D7" w:themeFill="accent1" w:themeFillTint="99"/>
          </w:tcPr>
          <w:p w14:paraId="059A93BF" w14:textId="77777777" w:rsidR="00F53AB1" w:rsidRPr="00A85FEA" w:rsidRDefault="00F53AB1" w:rsidP="00D87929">
            <w:pPr>
              <w:rPr>
                <w:rFonts w:cs="Arial"/>
                <w:szCs w:val="22"/>
              </w:rPr>
            </w:pPr>
            <w:r w:rsidRPr="00A85FEA">
              <w:rPr>
                <w:rFonts w:cs="Arial"/>
                <w:szCs w:val="22"/>
              </w:rPr>
              <w:t>Nombre del Documento</w:t>
            </w:r>
          </w:p>
        </w:tc>
        <w:tc>
          <w:tcPr>
            <w:tcW w:w="5670" w:type="dxa"/>
          </w:tcPr>
          <w:p w14:paraId="1622B765" w14:textId="77777777" w:rsidR="00F53AB1" w:rsidRPr="00A85FEA" w:rsidRDefault="00F53AB1" w:rsidP="00D87929">
            <w:pPr>
              <w:rPr>
                <w:rFonts w:cs="Arial"/>
                <w:szCs w:val="22"/>
              </w:rPr>
            </w:pPr>
            <w:r w:rsidRPr="00A85FEA">
              <w:rPr>
                <w:rFonts w:cs="Arial"/>
                <w:szCs w:val="22"/>
              </w:rPr>
              <w:t xml:space="preserve">Manual de Políticas Contables </w:t>
            </w:r>
          </w:p>
        </w:tc>
      </w:tr>
      <w:tr w:rsidR="00F53AB1" w:rsidRPr="00A85FEA" w14:paraId="32DA33F3" w14:textId="77777777" w:rsidTr="003A339B">
        <w:tc>
          <w:tcPr>
            <w:tcW w:w="3823" w:type="dxa"/>
            <w:shd w:val="clear" w:color="auto" w:fill="95B3D7" w:themeFill="accent1" w:themeFillTint="99"/>
          </w:tcPr>
          <w:p w14:paraId="201FFE01" w14:textId="77777777" w:rsidR="00F53AB1" w:rsidRPr="00A85FEA" w:rsidRDefault="00F53AB1" w:rsidP="00D87929">
            <w:pPr>
              <w:rPr>
                <w:rFonts w:cs="Arial"/>
                <w:szCs w:val="22"/>
              </w:rPr>
            </w:pPr>
            <w:r w:rsidRPr="00A85FEA">
              <w:rPr>
                <w:rFonts w:cs="Arial"/>
                <w:szCs w:val="22"/>
              </w:rPr>
              <w:t xml:space="preserve">Creado por </w:t>
            </w:r>
          </w:p>
        </w:tc>
        <w:tc>
          <w:tcPr>
            <w:tcW w:w="5670" w:type="dxa"/>
          </w:tcPr>
          <w:p w14:paraId="06602E3B" w14:textId="77777777" w:rsidR="00F53AB1" w:rsidRPr="00A85FEA" w:rsidRDefault="00F53AB1" w:rsidP="00D87929">
            <w:pPr>
              <w:rPr>
                <w:rFonts w:cs="Arial"/>
                <w:szCs w:val="22"/>
              </w:rPr>
            </w:pPr>
            <w:r w:rsidRPr="00A85FEA">
              <w:rPr>
                <w:rFonts w:cs="Arial"/>
                <w:szCs w:val="22"/>
                <w:lang w:eastAsia="es-CO"/>
              </w:rPr>
              <w:t>Comité técnico de sostenibilidad del sistema contable</w:t>
            </w:r>
          </w:p>
        </w:tc>
      </w:tr>
      <w:tr w:rsidR="00F53AB1" w:rsidRPr="00A85FEA" w14:paraId="089F5513" w14:textId="77777777" w:rsidTr="003A339B">
        <w:tc>
          <w:tcPr>
            <w:tcW w:w="3823" w:type="dxa"/>
            <w:shd w:val="clear" w:color="auto" w:fill="95B3D7" w:themeFill="accent1" w:themeFillTint="99"/>
          </w:tcPr>
          <w:p w14:paraId="7807B2B0" w14:textId="77777777" w:rsidR="00F53AB1" w:rsidRPr="00A85FEA" w:rsidRDefault="00F53AB1" w:rsidP="00D87929">
            <w:pPr>
              <w:rPr>
                <w:rFonts w:cs="Arial"/>
                <w:szCs w:val="22"/>
              </w:rPr>
            </w:pPr>
            <w:r w:rsidRPr="00A85FEA">
              <w:rPr>
                <w:rFonts w:cs="Arial"/>
                <w:szCs w:val="22"/>
              </w:rPr>
              <w:t>Responsable</w:t>
            </w:r>
          </w:p>
        </w:tc>
        <w:tc>
          <w:tcPr>
            <w:tcW w:w="5670" w:type="dxa"/>
          </w:tcPr>
          <w:p w14:paraId="5A5EF9BB" w14:textId="77777777" w:rsidR="00F53AB1" w:rsidRPr="00A85FEA" w:rsidRDefault="00F53AB1" w:rsidP="00D87929">
            <w:pPr>
              <w:rPr>
                <w:rFonts w:cs="Arial"/>
                <w:szCs w:val="22"/>
              </w:rPr>
            </w:pPr>
            <w:r w:rsidRPr="00A85FEA">
              <w:rPr>
                <w:rFonts w:cs="Arial"/>
                <w:szCs w:val="22"/>
              </w:rPr>
              <w:t>Director General</w:t>
            </w:r>
          </w:p>
        </w:tc>
      </w:tr>
      <w:tr w:rsidR="00F53AB1" w:rsidRPr="00A85FEA" w14:paraId="2FE7D448" w14:textId="77777777" w:rsidTr="003A339B">
        <w:tc>
          <w:tcPr>
            <w:tcW w:w="3823" w:type="dxa"/>
            <w:shd w:val="clear" w:color="auto" w:fill="95B3D7" w:themeFill="accent1" w:themeFillTint="99"/>
          </w:tcPr>
          <w:p w14:paraId="638F8115" w14:textId="77777777" w:rsidR="00F53AB1" w:rsidRPr="00A85FEA" w:rsidRDefault="00F53AB1" w:rsidP="00D87929">
            <w:pPr>
              <w:rPr>
                <w:rFonts w:cs="Arial"/>
                <w:szCs w:val="22"/>
              </w:rPr>
            </w:pPr>
            <w:r w:rsidRPr="00A85FEA">
              <w:rPr>
                <w:rFonts w:cs="Arial"/>
                <w:szCs w:val="22"/>
              </w:rPr>
              <w:t>Controlado por</w:t>
            </w:r>
          </w:p>
        </w:tc>
        <w:tc>
          <w:tcPr>
            <w:tcW w:w="5670" w:type="dxa"/>
          </w:tcPr>
          <w:p w14:paraId="1357F1E7" w14:textId="77777777" w:rsidR="00F53AB1" w:rsidRPr="00A85FEA" w:rsidRDefault="00F53AB1" w:rsidP="00D87929">
            <w:pPr>
              <w:rPr>
                <w:rFonts w:cs="Arial"/>
                <w:szCs w:val="22"/>
              </w:rPr>
            </w:pPr>
            <w:r w:rsidRPr="00A85FEA">
              <w:rPr>
                <w:rFonts w:cs="Arial"/>
                <w:szCs w:val="22"/>
              </w:rPr>
              <w:t>Contador</w:t>
            </w:r>
          </w:p>
        </w:tc>
      </w:tr>
      <w:tr w:rsidR="00F53AB1" w:rsidRPr="00A85FEA" w14:paraId="3774305A" w14:textId="77777777" w:rsidTr="003A339B">
        <w:tc>
          <w:tcPr>
            <w:tcW w:w="3823" w:type="dxa"/>
            <w:shd w:val="clear" w:color="auto" w:fill="95B3D7" w:themeFill="accent1" w:themeFillTint="99"/>
          </w:tcPr>
          <w:p w14:paraId="6BC78BD2" w14:textId="77777777" w:rsidR="00F53AB1" w:rsidRPr="00A85FEA" w:rsidRDefault="00F53AB1" w:rsidP="00D87929">
            <w:pPr>
              <w:rPr>
                <w:rFonts w:cs="Arial"/>
                <w:szCs w:val="22"/>
              </w:rPr>
            </w:pPr>
            <w:r w:rsidRPr="00A85FEA">
              <w:rPr>
                <w:rFonts w:cs="Arial"/>
                <w:szCs w:val="22"/>
              </w:rPr>
              <w:t>Aprobado por</w:t>
            </w:r>
          </w:p>
        </w:tc>
        <w:tc>
          <w:tcPr>
            <w:tcW w:w="5670" w:type="dxa"/>
          </w:tcPr>
          <w:p w14:paraId="614BE3EF" w14:textId="77777777" w:rsidR="00F53AB1" w:rsidRPr="00A85FEA" w:rsidRDefault="00F53AB1" w:rsidP="00D87929">
            <w:pPr>
              <w:rPr>
                <w:rFonts w:cs="Arial"/>
                <w:szCs w:val="22"/>
              </w:rPr>
            </w:pPr>
            <w:r w:rsidRPr="00A85FEA">
              <w:rPr>
                <w:rFonts w:cs="Arial"/>
                <w:szCs w:val="22"/>
              </w:rPr>
              <w:t>Comité de Sostenibilidad del Sistema de Información Financiera</w:t>
            </w:r>
          </w:p>
        </w:tc>
      </w:tr>
      <w:tr w:rsidR="00F53AB1" w:rsidRPr="00A85FEA" w14:paraId="634A1BBC" w14:textId="77777777" w:rsidTr="003A339B">
        <w:tc>
          <w:tcPr>
            <w:tcW w:w="3823" w:type="dxa"/>
            <w:shd w:val="clear" w:color="auto" w:fill="95B3D7" w:themeFill="accent1" w:themeFillTint="99"/>
          </w:tcPr>
          <w:p w14:paraId="7F6FAF14" w14:textId="77777777" w:rsidR="00F53AB1" w:rsidRPr="00A85FEA" w:rsidRDefault="00F53AB1" w:rsidP="00D87929">
            <w:pPr>
              <w:rPr>
                <w:rFonts w:cs="Arial"/>
                <w:szCs w:val="22"/>
              </w:rPr>
            </w:pPr>
            <w:r w:rsidRPr="00A85FEA">
              <w:rPr>
                <w:rFonts w:cs="Arial"/>
                <w:szCs w:val="22"/>
              </w:rPr>
              <w:t>Fecha de aprobación V1</w:t>
            </w:r>
          </w:p>
        </w:tc>
        <w:tc>
          <w:tcPr>
            <w:tcW w:w="5670" w:type="dxa"/>
          </w:tcPr>
          <w:p w14:paraId="7A9C8FEB" w14:textId="77777777" w:rsidR="00F53AB1" w:rsidRPr="00A85FEA" w:rsidRDefault="00F53AB1" w:rsidP="00D87929">
            <w:pPr>
              <w:rPr>
                <w:rFonts w:cs="Arial"/>
                <w:szCs w:val="22"/>
              </w:rPr>
            </w:pPr>
            <w:r w:rsidRPr="00A85FEA">
              <w:rPr>
                <w:rFonts w:cs="Arial"/>
                <w:szCs w:val="22"/>
              </w:rPr>
              <w:t>14 de diciembre de 2017</w:t>
            </w:r>
          </w:p>
        </w:tc>
      </w:tr>
      <w:tr w:rsidR="00F53AB1" w:rsidRPr="00A85FEA" w14:paraId="144C4A38" w14:textId="77777777" w:rsidTr="003A339B">
        <w:tc>
          <w:tcPr>
            <w:tcW w:w="3823" w:type="dxa"/>
            <w:shd w:val="clear" w:color="auto" w:fill="95B3D7" w:themeFill="accent1" w:themeFillTint="99"/>
          </w:tcPr>
          <w:p w14:paraId="2D16F4C2" w14:textId="77777777" w:rsidR="00F53AB1" w:rsidRPr="00A85FEA" w:rsidRDefault="00F53AB1" w:rsidP="00D87929">
            <w:pPr>
              <w:rPr>
                <w:rFonts w:cs="Arial"/>
                <w:szCs w:val="22"/>
              </w:rPr>
            </w:pPr>
            <w:r w:rsidRPr="00A85FEA">
              <w:rPr>
                <w:rFonts w:cs="Arial"/>
                <w:szCs w:val="22"/>
              </w:rPr>
              <w:t>Acta</w:t>
            </w:r>
          </w:p>
        </w:tc>
        <w:tc>
          <w:tcPr>
            <w:tcW w:w="5670" w:type="dxa"/>
          </w:tcPr>
          <w:p w14:paraId="64B87ACF" w14:textId="77777777" w:rsidR="00F53AB1" w:rsidRPr="00A85FEA" w:rsidRDefault="00F53AB1" w:rsidP="00D87929">
            <w:pPr>
              <w:rPr>
                <w:rFonts w:cs="Arial"/>
                <w:szCs w:val="22"/>
              </w:rPr>
            </w:pPr>
            <w:r w:rsidRPr="00A85FEA">
              <w:rPr>
                <w:rFonts w:cs="Arial"/>
                <w:szCs w:val="22"/>
              </w:rPr>
              <w:t>Acta de fecha 14 de diciembre de 2017</w:t>
            </w:r>
          </w:p>
        </w:tc>
      </w:tr>
      <w:tr w:rsidR="00F53AB1" w:rsidRPr="00A85FEA" w14:paraId="796144EC" w14:textId="77777777" w:rsidTr="003A339B">
        <w:tc>
          <w:tcPr>
            <w:tcW w:w="3823" w:type="dxa"/>
            <w:shd w:val="clear" w:color="auto" w:fill="95B3D7" w:themeFill="accent1" w:themeFillTint="99"/>
          </w:tcPr>
          <w:p w14:paraId="4DC7F2DA" w14:textId="77777777" w:rsidR="00F53AB1" w:rsidRPr="00A85FEA" w:rsidRDefault="00F53AB1" w:rsidP="00D87929">
            <w:pPr>
              <w:rPr>
                <w:rFonts w:cs="Arial"/>
                <w:szCs w:val="22"/>
              </w:rPr>
            </w:pPr>
            <w:r w:rsidRPr="00A85FEA">
              <w:rPr>
                <w:rFonts w:cs="Arial"/>
                <w:szCs w:val="22"/>
              </w:rPr>
              <w:t>Vigencia</w:t>
            </w:r>
          </w:p>
        </w:tc>
        <w:tc>
          <w:tcPr>
            <w:tcW w:w="5670" w:type="dxa"/>
          </w:tcPr>
          <w:p w14:paraId="0ABC6AFE" w14:textId="77777777" w:rsidR="00F53AB1" w:rsidRPr="00A85FEA" w:rsidRDefault="00F53AB1" w:rsidP="00D87929">
            <w:pPr>
              <w:rPr>
                <w:rFonts w:cs="Arial"/>
                <w:szCs w:val="22"/>
                <w:highlight w:val="yellow"/>
              </w:rPr>
            </w:pPr>
            <w:r w:rsidRPr="00A85FEA">
              <w:rPr>
                <w:rFonts w:cs="Arial"/>
                <w:szCs w:val="22"/>
              </w:rPr>
              <w:t>Rige a partir del 1 de enero de 2018</w:t>
            </w:r>
          </w:p>
        </w:tc>
      </w:tr>
    </w:tbl>
    <w:p w14:paraId="239E09D9" w14:textId="77777777" w:rsidR="00F53AB1" w:rsidRPr="00A85FEA" w:rsidRDefault="00F53AB1" w:rsidP="00D87929">
      <w:pPr>
        <w:rPr>
          <w:rFonts w:cs="Arial"/>
          <w:szCs w:val="22"/>
        </w:rPr>
      </w:pPr>
    </w:p>
    <w:p w14:paraId="00EC83E8" w14:textId="77777777" w:rsidR="00F53AB1" w:rsidRPr="00A85FEA" w:rsidRDefault="00F53AB1" w:rsidP="008A0EF2">
      <w:pPr>
        <w:pStyle w:val="Ttulo1"/>
        <w:numPr>
          <w:ilvl w:val="0"/>
          <w:numId w:val="8"/>
        </w:numPr>
        <w:rPr>
          <w:rStyle w:val="Ttulodellibro"/>
          <w:rFonts w:ascii="Arial" w:hAnsi="Arial" w:cs="Arial"/>
          <w:b/>
          <w:bCs/>
          <w:smallCaps w:val="0"/>
          <w:color w:val="auto"/>
          <w:spacing w:val="0"/>
          <w:sz w:val="22"/>
          <w:szCs w:val="22"/>
        </w:rPr>
      </w:pPr>
      <w:bookmarkStart w:id="1" w:name="_Toc525721301"/>
      <w:r w:rsidRPr="00A85FEA">
        <w:rPr>
          <w:rStyle w:val="Ttulodellibro"/>
          <w:rFonts w:ascii="Arial" w:hAnsi="Arial" w:cs="Arial"/>
          <w:b/>
          <w:bCs/>
          <w:smallCaps w:val="0"/>
          <w:color w:val="auto"/>
          <w:spacing w:val="0"/>
          <w:sz w:val="22"/>
          <w:szCs w:val="22"/>
        </w:rPr>
        <w:t>Objetivo</w:t>
      </w:r>
      <w:bookmarkEnd w:id="1"/>
    </w:p>
    <w:p w14:paraId="0C8D05FE" w14:textId="77777777" w:rsidR="00F53AB1" w:rsidRPr="00A85FEA" w:rsidRDefault="00F53AB1" w:rsidP="00B2160C">
      <w:pPr>
        <w:jc w:val="both"/>
        <w:rPr>
          <w:rFonts w:eastAsia="Calibri" w:cs="Arial"/>
          <w:szCs w:val="22"/>
        </w:rPr>
      </w:pPr>
    </w:p>
    <w:p w14:paraId="192BA949" w14:textId="77777777" w:rsidR="00F53AB1" w:rsidRPr="00A85FEA" w:rsidRDefault="00F53AB1" w:rsidP="00B2160C">
      <w:pPr>
        <w:jc w:val="both"/>
        <w:rPr>
          <w:rFonts w:eastAsia="Calibri" w:cs="Arial"/>
          <w:szCs w:val="22"/>
        </w:rPr>
      </w:pPr>
      <w:r w:rsidRPr="00A85FEA">
        <w:rPr>
          <w:rFonts w:eastAsia="Calibri" w:cs="Arial"/>
          <w:szCs w:val="22"/>
        </w:rPr>
        <w:lastRenderedPageBreak/>
        <w:t>Establecer los principios, bases y reglas que rigen las políticas contables para la elaboración y presentación de los hechos económicos en los estados financieros de la Corporación para el Desarrollo Sostenible del Norte y el Oriente Amazónico – CDA conforme al Marco Normativo para Entidades de gobierno para obtener información relevante y fiable que satisfaga las necesidades de los usuarios de la información financiera.</w:t>
      </w:r>
    </w:p>
    <w:p w14:paraId="3B0A037D" w14:textId="77777777" w:rsidR="00F53AB1" w:rsidRPr="00A85FEA" w:rsidRDefault="00F53AB1" w:rsidP="008A0EF2">
      <w:pPr>
        <w:pStyle w:val="Ttulo1"/>
        <w:numPr>
          <w:ilvl w:val="0"/>
          <w:numId w:val="8"/>
        </w:numPr>
        <w:rPr>
          <w:rStyle w:val="Ttulodellibro"/>
          <w:rFonts w:ascii="Arial" w:hAnsi="Arial" w:cs="Arial"/>
          <w:b/>
          <w:bCs/>
          <w:smallCaps w:val="0"/>
          <w:color w:val="auto"/>
          <w:spacing w:val="0"/>
          <w:sz w:val="22"/>
          <w:szCs w:val="22"/>
        </w:rPr>
      </w:pPr>
      <w:bookmarkStart w:id="2" w:name="_Toc525721302"/>
      <w:r w:rsidRPr="00A85FEA">
        <w:rPr>
          <w:rStyle w:val="Ttulodellibro"/>
          <w:rFonts w:ascii="Arial" w:hAnsi="Arial" w:cs="Arial"/>
          <w:b/>
          <w:bCs/>
          <w:smallCaps w:val="0"/>
          <w:color w:val="auto"/>
          <w:spacing w:val="0"/>
          <w:sz w:val="22"/>
          <w:szCs w:val="22"/>
        </w:rPr>
        <w:t>Base legal y normativa</w:t>
      </w:r>
      <w:bookmarkEnd w:id="2"/>
      <w:r w:rsidRPr="00A85FEA">
        <w:rPr>
          <w:rStyle w:val="Ttulodellibro"/>
          <w:rFonts w:ascii="Arial" w:hAnsi="Arial" w:cs="Arial"/>
          <w:b/>
          <w:bCs/>
          <w:smallCaps w:val="0"/>
          <w:color w:val="auto"/>
          <w:spacing w:val="0"/>
          <w:sz w:val="22"/>
          <w:szCs w:val="22"/>
        </w:rPr>
        <w:t xml:space="preserve"> </w:t>
      </w:r>
    </w:p>
    <w:p w14:paraId="0A34A9D1" w14:textId="77777777" w:rsidR="00F53AB1" w:rsidRPr="00A85FEA" w:rsidRDefault="00F53AB1" w:rsidP="00D87929">
      <w:pPr>
        <w:rPr>
          <w:rFonts w:eastAsia="Calibri" w:cs="Arial"/>
          <w:szCs w:val="22"/>
        </w:rPr>
      </w:pPr>
    </w:p>
    <w:p w14:paraId="2163792A" w14:textId="77777777" w:rsidR="00F53AB1" w:rsidRPr="00A85FEA" w:rsidRDefault="00F53AB1" w:rsidP="00B2160C">
      <w:pPr>
        <w:jc w:val="both"/>
        <w:rPr>
          <w:rStyle w:val="Fuerte"/>
          <w:rFonts w:cs="Arial"/>
          <w:b w:val="0"/>
          <w:szCs w:val="22"/>
          <w:shd w:val="clear" w:color="auto" w:fill="FFFFFF"/>
        </w:rPr>
      </w:pPr>
      <w:r w:rsidRPr="00A85FEA">
        <w:rPr>
          <w:rFonts w:eastAsia="Calibri" w:cs="Arial"/>
          <w:szCs w:val="22"/>
        </w:rPr>
        <w:t xml:space="preserve">Ley 1314 de 2009, expedido por el Congreso de Colombia, </w:t>
      </w:r>
      <w:r w:rsidRPr="00A85FEA">
        <w:rPr>
          <w:rStyle w:val="Fuerte"/>
          <w:rFonts w:cs="Arial"/>
          <w:b w:val="0"/>
          <w:szCs w:val="22"/>
          <w:shd w:val="clear" w:color="auto" w:fill="FFFFFF"/>
        </w:rPr>
        <w:t>por la cual se regulan los principios y normas de contabilidad e información financiera y de aseguramiento de información aceptados en Colombia, se señalan las autoridades competentes, el procedimiento para su expedición y se determinan las entidades responsables de vigilar su cumplimiento.</w:t>
      </w:r>
    </w:p>
    <w:p w14:paraId="002C099E" w14:textId="77777777" w:rsidR="00F53AB1" w:rsidRPr="00A85FEA" w:rsidRDefault="00F53AB1" w:rsidP="00D87929">
      <w:pPr>
        <w:rPr>
          <w:rStyle w:val="Fuerte"/>
          <w:rFonts w:cs="Arial"/>
          <w:b w:val="0"/>
          <w:szCs w:val="22"/>
          <w:shd w:val="clear" w:color="auto" w:fill="FFFFFF"/>
        </w:rPr>
      </w:pPr>
    </w:p>
    <w:p w14:paraId="34799F35" w14:textId="77777777" w:rsidR="00F53AB1" w:rsidRPr="00A85FEA" w:rsidRDefault="00F53AB1" w:rsidP="00D87929">
      <w:pPr>
        <w:rPr>
          <w:rStyle w:val="Fuerte"/>
          <w:rFonts w:cs="Arial"/>
          <w:b w:val="0"/>
          <w:szCs w:val="22"/>
          <w:shd w:val="clear" w:color="auto" w:fill="FFFFFF"/>
        </w:rPr>
      </w:pPr>
      <w:r w:rsidRPr="00A85FEA">
        <w:rPr>
          <w:rStyle w:val="Fuerte"/>
          <w:rFonts w:cs="Arial"/>
          <w:szCs w:val="22"/>
          <w:shd w:val="clear" w:color="auto" w:fill="FFFFFF"/>
        </w:rPr>
        <w:t xml:space="preserve">Resolución 533 de 2015, </w:t>
      </w:r>
      <w:r w:rsidRPr="00A85FEA">
        <w:rPr>
          <w:rStyle w:val="Fuerte"/>
          <w:rFonts w:cs="Arial"/>
          <w:b w:val="0"/>
          <w:szCs w:val="22"/>
          <w:shd w:val="clear" w:color="auto" w:fill="FFFFFF"/>
        </w:rPr>
        <w:t>expedida por la Contaduría General de la Nación, por la cual se incorpora en el Régimen de Contabilidad Publica el marco normativo aplicable a entidades de gobierno y sus modificaciones.</w:t>
      </w:r>
    </w:p>
    <w:p w14:paraId="38DD7F8F" w14:textId="77777777" w:rsidR="00F53AB1" w:rsidRPr="00A85FEA" w:rsidRDefault="00F53AB1" w:rsidP="00D87929">
      <w:pPr>
        <w:rPr>
          <w:rStyle w:val="Fuerte"/>
          <w:rFonts w:cs="Arial"/>
          <w:b w:val="0"/>
          <w:szCs w:val="22"/>
          <w:shd w:val="clear" w:color="auto" w:fill="FFFFFF"/>
        </w:rPr>
      </w:pPr>
    </w:p>
    <w:p w14:paraId="247367DE" w14:textId="77777777" w:rsidR="00F53AB1" w:rsidRPr="00A85FEA" w:rsidRDefault="00F53AB1" w:rsidP="00D87929">
      <w:pPr>
        <w:rPr>
          <w:rFonts w:cs="Arial"/>
          <w:szCs w:val="22"/>
        </w:rPr>
      </w:pPr>
      <w:r w:rsidRPr="00A85FEA">
        <w:rPr>
          <w:rStyle w:val="Fuerte"/>
          <w:rFonts w:cs="Arial"/>
          <w:szCs w:val="22"/>
          <w:shd w:val="clear" w:color="auto" w:fill="FFFFFF"/>
        </w:rPr>
        <w:t xml:space="preserve">Resolución 620 de 2015, </w:t>
      </w:r>
      <w:r w:rsidRPr="00A85FEA">
        <w:rPr>
          <w:rStyle w:val="Fuerte"/>
          <w:rFonts w:cs="Arial"/>
          <w:b w:val="0"/>
          <w:szCs w:val="22"/>
          <w:shd w:val="clear" w:color="auto" w:fill="FFFFFF"/>
        </w:rPr>
        <w:t xml:space="preserve">expedida por la Contaduría General de la Nación, por la cual se define el catálogo general de cuentas para </w:t>
      </w:r>
      <w:r w:rsidRPr="00A85FEA">
        <w:rPr>
          <w:rFonts w:cs="Arial"/>
          <w:szCs w:val="22"/>
        </w:rPr>
        <w:t>entidades de gobierno.</w:t>
      </w:r>
    </w:p>
    <w:p w14:paraId="7A647E18" w14:textId="77777777" w:rsidR="00F53AB1" w:rsidRPr="00A85FEA" w:rsidRDefault="00F53AB1" w:rsidP="00D87929">
      <w:pPr>
        <w:rPr>
          <w:rFonts w:cs="Arial"/>
          <w:szCs w:val="22"/>
          <w:shd w:val="clear" w:color="auto" w:fill="FFFFFF"/>
        </w:rPr>
      </w:pPr>
    </w:p>
    <w:p w14:paraId="7C4665BC" w14:textId="77777777" w:rsidR="00F53AB1" w:rsidRPr="00A85FEA" w:rsidRDefault="00F53AB1" w:rsidP="00B2160C">
      <w:pPr>
        <w:jc w:val="both"/>
        <w:rPr>
          <w:rFonts w:cs="Arial"/>
          <w:szCs w:val="22"/>
        </w:rPr>
      </w:pPr>
      <w:r w:rsidRPr="00A85FEA">
        <w:rPr>
          <w:rFonts w:cs="Arial"/>
          <w:szCs w:val="22"/>
        </w:rPr>
        <w:t>El Marco Normativo para Entidades de gobierno expedido por la Contaduría General de la Nación reproduce con el permiso de la Federación Internacional de Contadores (IFAC) secciones del Consejo de Normas Internacionales de Contabilidad para el Sector Publico (IPSAS).</w:t>
      </w:r>
    </w:p>
    <w:p w14:paraId="33B9E9CA" w14:textId="77777777" w:rsidR="00F53AB1" w:rsidRPr="00A85FEA" w:rsidRDefault="00F53AB1" w:rsidP="00A85FEA">
      <w:pPr>
        <w:pStyle w:val="Ttulo1"/>
        <w:rPr>
          <w:rStyle w:val="Ttulodellibro"/>
          <w:rFonts w:ascii="Arial" w:hAnsi="Arial" w:cs="Arial"/>
          <w:b/>
          <w:bCs/>
          <w:smallCaps w:val="0"/>
          <w:color w:val="auto"/>
          <w:spacing w:val="0"/>
          <w:sz w:val="22"/>
          <w:szCs w:val="22"/>
        </w:rPr>
      </w:pPr>
      <w:bookmarkStart w:id="3" w:name="_Toc525721303"/>
      <w:r w:rsidRPr="00A85FEA">
        <w:rPr>
          <w:rStyle w:val="Ttulodellibro"/>
          <w:rFonts w:ascii="Arial" w:hAnsi="Arial" w:cs="Arial"/>
          <w:b/>
          <w:bCs/>
          <w:smallCaps w:val="0"/>
          <w:color w:val="auto"/>
          <w:spacing w:val="0"/>
          <w:sz w:val="22"/>
          <w:szCs w:val="22"/>
        </w:rPr>
        <w:t>3. Alcance</w:t>
      </w:r>
      <w:bookmarkEnd w:id="3"/>
    </w:p>
    <w:p w14:paraId="7E4AB409" w14:textId="77777777" w:rsidR="00F53AB1" w:rsidRPr="00A85FEA" w:rsidRDefault="00F53AB1" w:rsidP="00D87929">
      <w:pPr>
        <w:rPr>
          <w:rFonts w:eastAsia="Calibri" w:cs="Arial"/>
          <w:szCs w:val="22"/>
        </w:rPr>
      </w:pPr>
    </w:p>
    <w:p w14:paraId="12E9AC51" w14:textId="77777777" w:rsidR="00F53AB1" w:rsidRPr="00A85FEA" w:rsidRDefault="00F53AB1" w:rsidP="00B2160C">
      <w:pPr>
        <w:jc w:val="both"/>
        <w:rPr>
          <w:rFonts w:cs="Arial"/>
          <w:szCs w:val="22"/>
        </w:rPr>
      </w:pPr>
      <w:r w:rsidRPr="00A85FEA">
        <w:rPr>
          <w:rFonts w:cs="Arial"/>
          <w:szCs w:val="22"/>
        </w:rPr>
        <w:t>El Marco Normativo para Entidades de Gobierno está conformado por:</w:t>
      </w:r>
    </w:p>
    <w:p w14:paraId="29845A65" w14:textId="77777777" w:rsidR="00F53AB1" w:rsidRPr="00A85FEA" w:rsidRDefault="00F53AB1" w:rsidP="00B2160C">
      <w:pPr>
        <w:jc w:val="both"/>
        <w:rPr>
          <w:rFonts w:cs="Arial"/>
          <w:szCs w:val="22"/>
        </w:rPr>
      </w:pPr>
    </w:p>
    <w:p w14:paraId="558CACA8" w14:textId="77777777" w:rsidR="00F53AB1" w:rsidRPr="00A85FEA" w:rsidRDefault="00F53AB1" w:rsidP="00B2160C">
      <w:pPr>
        <w:jc w:val="both"/>
        <w:rPr>
          <w:rFonts w:eastAsia="Calibri" w:cs="Arial"/>
          <w:szCs w:val="22"/>
        </w:rPr>
      </w:pPr>
      <w:r w:rsidRPr="00A85FEA">
        <w:rPr>
          <w:rFonts w:cs="Arial"/>
          <w:szCs w:val="22"/>
        </w:rPr>
        <w:t>E</w:t>
      </w:r>
      <w:r w:rsidRPr="00A85FEA">
        <w:rPr>
          <w:rFonts w:eastAsia="Calibri" w:cs="Arial"/>
          <w:szCs w:val="22"/>
        </w:rPr>
        <w:t>l marco conceptual,</w:t>
      </w:r>
    </w:p>
    <w:p w14:paraId="10C88C50" w14:textId="77777777" w:rsidR="00F53AB1" w:rsidRPr="00A85FEA" w:rsidRDefault="00F53AB1" w:rsidP="00B2160C">
      <w:pPr>
        <w:jc w:val="both"/>
        <w:rPr>
          <w:rFonts w:cs="Arial"/>
          <w:szCs w:val="22"/>
        </w:rPr>
      </w:pPr>
      <w:r w:rsidRPr="00A85FEA">
        <w:rPr>
          <w:rFonts w:cs="Arial"/>
          <w:szCs w:val="22"/>
        </w:rPr>
        <w:t>Normas para el Reconocimiento, Medición, Revelación y Presentación de los Hechos Económicos De las Entidades de Gobierno</w:t>
      </w:r>
    </w:p>
    <w:p w14:paraId="78BBA663" w14:textId="77777777" w:rsidR="00F53AB1" w:rsidRPr="00A85FEA" w:rsidRDefault="00F53AB1" w:rsidP="00B2160C">
      <w:pPr>
        <w:jc w:val="both"/>
        <w:rPr>
          <w:rFonts w:cs="Arial"/>
          <w:szCs w:val="22"/>
        </w:rPr>
      </w:pPr>
      <w:r w:rsidRPr="00A85FEA">
        <w:rPr>
          <w:rFonts w:cs="Arial"/>
          <w:szCs w:val="22"/>
        </w:rPr>
        <w:t xml:space="preserve">Catálogo general de cuentas </w:t>
      </w:r>
    </w:p>
    <w:p w14:paraId="51EB0F30" w14:textId="77777777" w:rsidR="00F53AB1" w:rsidRPr="00A85FEA" w:rsidRDefault="00F53AB1" w:rsidP="00B2160C">
      <w:pPr>
        <w:jc w:val="both"/>
        <w:rPr>
          <w:rFonts w:cs="Arial"/>
          <w:szCs w:val="22"/>
        </w:rPr>
      </w:pPr>
      <w:r w:rsidRPr="00A85FEA">
        <w:rPr>
          <w:rFonts w:cs="Arial"/>
          <w:szCs w:val="22"/>
        </w:rPr>
        <w:t>Procedimientos contables</w:t>
      </w:r>
    </w:p>
    <w:p w14:paraId="41B27B94" w14:textId="77777777" w:rsidR="00F53AB1" w:rsidRPr="00A85FEA" w:rsidRDefault="00F53AB1" w:rsidP="00B2160C">
      <w:pPr>
        <w:jc w:val="both"/>
        <w:rPr>
          <w:rFonts w:cs="Arial"/>
          <w:szCs w:val="22"/>
        </w:rPr>
      </w:pPr>
      <w:r w:rsidRPr="00A85FEA">
        <w:rPr>
          <w:rFonts w:cs="Arial"/>
          <w:szCs w:val="22"/>
        </w:rPr>
        <w:t>Guías de aplicación</w:t>
      </w:r>
    </w:p>
    <w:p w14:paraId="773BC01E" w14:textId="77777777" w:rsidR="00F53AB1" w:rsidRPr="00A85FEA" w:rsidRDefault="00F53AB1" w:rsidP="00B2160C">
      <w:pPr>
        <w:jc w:val="both"/>
        <w:rPr>
          <w:rFonts w:cs="Arial"/>
          <w:szCs w:val="22"/>
        </w:rPr>
      </w:pPr>
      <w:r w:rsidRPr="00A85FEA">
        <w:rPr>
          <w:rFonts w:cs="Arial"/>
          <w:szCs w:val="22"/>
        </w:rPr>
        <w:t>Doctrina contable publica</w:t>
      </w:r>
    </w:p>
    <w:p w14:paraId="4A46398E" w14:textId="77777777" w:rsidR="00F53AB1" w:rsidRPr="00A85FEA" w:rsidRDefault="00F53AB1" w:rsidP="00A85FEA">
      <w:pPr>
        <w:pStyle w:val="Ttulo1"/>
        <w:rPr>
          <w:rStyle w:val="Ttulodellibro"/>
          <w:rFonts w:ascii="Arial" w:hAnsi="Arial" w:cs="Arial"/>
          <w:b/>
          <w:bCs/>
          <w:smallCaps w:val="0"/>
          <w:color w:val="auto"/>
          <w:spacing w:val="0"/>
          <w:sz w:val="22"/>
          <w:szCs w:val="22"/>
        </w:rPr>
      </w:pPr>
      <w:bookmarkStart w:id="4" w:name="_Toc525721304"/>
      <w:r w:rsidRPr="00A85FEA">
        <w:rPr>
          <w:rStyle w:val="Ttulodellibro"/>
          <w:rFonts w:ascii="Arial" w:hAnsi="Arial" w:cs="Arial"/>
          <w:b/>
          <w:bCs/>
          <w:smallCaps w:val="0"/>
          <w:color w:val="auto"/>
          <w:spacing w:val="0"/>
          <w:sz w:val="22"/>
          <w:szCs w:val="22"/>
        </w:rPr>
        <w:lastRenderedPageBreak/>
        <w:t>4. Responsabilidades</w:t>
      </w:r>
      <w:bookmarkEnd w:id="4"/>
    </w:p>
    <w:p w14:paraId="031AE3C4" w14:textId="77777777" w:rsidR="00F53AB1" w:rsidRPr="00A85FEA" w:rsidRDefault="00F53AB1" w:rsidP="00D87929">
      <w:pPr>
        <w:rPr>
          <w:rFonts w:eastAsia="Calibri" w:cs="Arial"/>
          <w:szCs w:val="22"/>
        </w:rPr>
      </w:pPr>
    </w:p>
    <w:p w14:paraId="39A08E40" w14:textId="77777777" w:rsidR="00F53AB1" w:rsidRPr="00A85FEA" w:rsidRDefault="00F53AB1" w:rsidP="00FE2266">
      <w:pPr>
        <w:jc w:val="both"/>
        <w:rPr>
          <w:rFonts w:eastAsia="Calibri" w:cs="Arial"/>
          <w:szCs w:val="22"/>
        </w:rPr>
      </w:pPr>
      <w:r w:rsidRPr="00A85FEA">
        <w:rPr>
          <w:rFonts w:eastAsia="Calibri" w:cs="Arial"/>
          <w:szCs w:val="22"/>
        </w:rPr>
        <w:t>La responsabilidad es del representante legal o director que es quien realiza control permanente del cumplimiento de las políticas contables.</w:t>
      </w:r>
    </w:p>
    <w:p w14:paraId="5F7E01FF" w14:textId="77777777" w:rsidR="00F53AB1" w:rsidRPr="00A85FEA" w:rsidRDefault="00F53AB1" w:rsidP="00FE2266">
      <w:pPr>
        <w:jc w:val="both"/>
        <w:rPr>
          <w:rFonts w:eastAsia="Calibri" w:cs="Arial"/>
          <w:szCs w:val="22"/>
        </w:rPr>
      </w:pPr>
    </w:p>
    <w:p w14:paraId="001F6ED4" w14:textId="77777777" w:rsidR="00F53AB1" w:rsidRPr="00A85FEA" w:rsidRDefault="00F53AB1" w:rsidP="00FE2266">
      <w:pPr>
        <w:jc w:val="both"/>
        <w:rPr>
          <w:rFonts w:eastAsia="Calibri" w:cs="Arial"/>
          <w:szCs w:val="22"/>
        </w:rPr>
      </w:pPr>
      <w:r w:rsidRPr="00A85FEA">
        <w:rPr>
          <w:rFonts w:eastAsia="Calibri" w:cs="Arial"/>
          <w:szCs w:val="22"/>
        </w:rPr>
        <w:t>El comité técnico de sostenibilidad del sistema de información contable elabora, revisa y aprueba las políticas contables.</w:t>
      </w:r>
    </w:p>
    <w:p w14:paraId="50EB70AA" w14:textId="77777777" w:rsidR="00F53AB1" w:rsidRPr="00A85FEA" w:rsidRDefault="00F53AB1" w:rsidP="00A85FEA">
      <w:pPr>
        <w:pStyle w:val="Ttulo1"/>
        <w:rPr>
          <w:rStyle w:val="Ttulodellibro"/>
          <w:rFonts w:ascii="Arial" w:hAnsi="Arial" w:cs="Arial"/>
          <w:b/>
          <w:bCs/>
          <w:smallCaps w:val="0"/>
          <w:color w:val="auto"/>
          <w:spacing w:val="0"/>
          <w:sz w:val="22"/>
          <w:szCs w:val="22"/>
        </w:rPr>
      </w:pPr>
      <w:bookmarkStart w:id="5" w:name="_Toc525721305"/>
      <w:r w:rsidRPr="00A85FEA">
        <w:rPr>
          <w:rStyle w:val="Ttulodellibro"/>
          <w:rFonts w:ascii="Arial" w:hAnsi="Arial" w:cs="Arial"/>
          <w:b/>
          <w:bCs/>
          <w:smallCaps w:val="0"/>
          <w:color w:val="auto"/>
          <w:spacing w:val="0"/>
          <w:sz w:val="22"/>
          <w:szCs w:val="22"/>
        </w:rPr>
        <w:t>5. Comité Técnico de Sostenibilidad del Sistema Contable</w:t>
      </w:r>
      <w:bookmarkEnd w:id="5"/>
    </w:p>
    <w:p w14:paraId="734E05B2" w14:textId="77777777" w:rsidR="00F53AB1" w:rsidRPr="00A85FEA" w:rsidRDefault="00F53AB1" w:rsidP="00D87929">
      <w:pPr>
        <w:rPr>
          <w:rFonts w:eastAsia="Calibri" w:cs="Arial"/>
          <w:szCs w:val="22"/>
        </w:rPr>
      </w:pPr>
    </w:p>
    <w:tbl>
      <w:tblPr>
        <w:tblStyle w:val="Tablaconcuadrcula"/>
        <w:tblW w:w="0" w:type="auto"/>
        <w:tblLook w:val="04A0" w:firstRow="1" w:lastRow="0" w:firstColumn="1" w:lastColumn="0" w:noHBand="0" w:noVBand="1"/>
      </w:tblPr>
      <w:tblGrid>
        <w:gridCol w:w="4520"/>
        <w:gridCol w:w="4536"/>
      </w:tblGrid>
      <w:tr w:rsidR="00A85FEA" w:rsidRPr="00A85FEA" w14:paraId="34BFD143" w14:textId="77777777" w:rsidTr="003A339B">
        <w:tc>
          <w:tcPr>
            <w:tcW w:w="9486" w:type="dxa"/>
            <w:gridSpan w:val="2"/>
          </w:tcPr>
          <w:p w14:paraId="133D6106" w14:textId="77777777" w:rsidR="00F53AB1" w:rsidRPr="00A85FEA" w:rsidRDefault="00F53AB1" w:rsidP="00D87929">
            <w:pPr>
              <w:rPr>
                <w:rFonts w:eastAsia="Calibri" w:cs="Arial"/>
                <w:szCs w:val="22"/>
              </w:rPr>
            </w:pPr>
            <w:r w:rsidRPr="00A85FEA">
              <w:rPr>
                <w:rFonts w:eastAsia="Calibri" w:cs="Arial"/>
                <w:szCs w:val="22"/>
              </w:rPr>
              <w:t>COMITÉ TÉCNICO DE SOSTENIBILIDAD DEL SISTEMA CONTABLE</w:t>
            </w:r>
          </w:p>
        </w:tc>
      </w:tr>
      <w:tr w:rsidR="00A85FEA" w:rsidRPr="00A85FEA" w14:paraId="1CA11E49" w14:textId="77777777" w:rsidTr="003A339B">
        <w:tc>
          <w:tcPr>
            <w:tcW w:w="4743" w:type="dxa"/>
          </w:tcPr>
          <w:p w14:paraId="3DCBC604" w14:textId="77777777" w:rsidR="00F53AB1" w:rsidRPr="00A85FEA" w:rsidRDefault="00F53AB1" w:rsidP="00D87929">
            <w:pPr>
              <w:rPr>
                <w:rFonts w:eastAsia="Calibri" w:cs="Arial"/>
                <w:szCs w:val="22"/>
              </w:rPr>
            </w:pPr>
            <w:r w:rsidRPr="00A85FEA">
              <w:rPr>
                <w:rFonts w:eastAsia="Calibri" w:cs="Arial"/>
                <w:szCs w:val="22"/>
              </w:rPr>
              <w:t>NOMBRE</w:t>
            </w:r>
          </w:p>
        </w:tc>
        <w:tc>
          <w:tcPr>
            <w:tcW w:w="4743" w:type="dxa"/>
          </w:tcPr>
          <w:p w14:paraId="4D7856A7" w14:textId="77777777" w:rsidR="00F53AB1" w:rsidRPr="00A85FEA" w:rsidRDefault="00F53AB1" w:rsidP="00D87929">
            <w:pPr>
              <w:rPr>
                <w:rFonts w:eastAsia="Calibri" w:cs="Arial"/>
                <w:szCs w:val="22"/>
              </w:rPr>
            </w:pPr>
            <w:r w:rsidRPr="00A85FEA">
              <w:rPr>
                <w:rFonts w:eastAsia="Calibri" w:cs="Arial"/>
                <w:szCs w:val="22"/>
              </w:rPr>
              <w:t>CARGO</w:t>
            </w:r>
          </w:p>
        </w:tc>
      </w:tr>
      <w:tr w:rsidR="00A85FEA" w:rsidRPr="00A85FEA" w14:paraId="786973AD" w14:textId="77777777" w:rsidTr="003A339B">
        <w:tc>
          <w:tcPr>
            <w:tcW w:w="4743" w:type="dxa"/>
          </w:tcPr>
          <w:p w14:paraId="6C139349" w14:textId="77777777" w:rsidR="00F53AB1" w:rsidRPr="00A85FEA" w:rsidRDefault="00F53AB1" w:rsidP="00D87929">
            <w:pPr>
              <w:rPr>
                <w:rFonts w:eastAsia="Calibri" w:cs="Arial"/>
                <w:szCs w:val="22"/>
              </w:rPr>
            </w:pPr>
            <w:r w:rsidRPr="00A85FEA">
              <w:rPr>
                <w:rFonts w:eastAsia="Calibri" w:cs="Arial"/>
                <w:szCs w:val="22"/>
              </w:rPr>
              <w:t>C</w:t>
            </w:r>
            <w:r w:rsidRPr="00A85FEA">
              <w:rPr>
                <w:rFonts w:cs="Arial"/>
                <w:szCs w:val="22"/>
              </w:rPr>
              <w:t>ésar Humberto Meléndez Sáenz</w:t>
            </w:r>
          </w:p>
        </w:tc>
        <w:tc>
          <w:tcPr>
            <w:tcW w:w="4743" w:type="dxa"/>
          </w:tcPr>
          <w:p w14:paraId="46063D46" w14:textId="77777777" w:rsidR="00F53AB1" w:rsidRPr="00A85FEA" w:rsidRDefault="00F53AB1" w:rsidP="00D87929">
            <w:pPr>
              <w:rPr>
                <w:rFonts w:eastAsia="Calibri" w:cs="Arial"/>
                <w:szCs w:val="22"/>
              </w:rPr>
            </w:pPr>
            <w:r w:rsidRPr="00A85FEA">
              <w:rPr>
                <w:rFonts w:eastAsia="Calibri" w:cs="Arial"/>
                <w:szCs w:val="22"/>
              </w:rPr>
              <w:t>Director</w:t>
            </w:r>
          </w:p>
        </w:tc>
      </w:tr>
      <w:tr w:rsidR="00A85FEA" w:rsidRPr="00A85FEA" w14:paraId="6742C2A0" w14:textId="77777777" w:rsidTr="003A339B">
        <w:tc>
          <w:tcPr>
            <w:tcW w:w="4743" w:type="dxa"/>
          </w:tcPr>
          <w:p w14:paraId="0087BE78" w14:textId="77777777" w:rsidR="00F53AB1" w:rsidRPr="00A85FEA" w:rsidRDefault="00F53AB1" w:rsidP="00D87929">
            <w:pPr>
              <w:rPr>
                <w:rFonts w:eastAsia="Calibri" w:cs="Arial"/>
                <w:szCs w:val="22"/>
              </w:rPr>
            </w:pPr>
            <w:r w:rsidRPr="00A85FEA">
              <w:rPr>
                <w:rFonts w:eastAsia="Calibri" w:cs="Arial"/>
                <w:bCs/>
                <w:szCs w:val="22"/>
              </w:rPr>
              <w:t>Rosa Pilar Jiménez Calderón</w:t>
            </w:r>
          </w:p>
        </w:tc>
        <w:tc>
          <w:tcPr>
            <w:tcW w:w="4743" w:type="dxa"/>
          </w:tcPr>
          <w:p w14:paraId="72A2B691" w14:textId="77777777" w:rsidR="00F53AB1" w:rsidRPr="00A85FEA" w:rsidRDefault="00F53AB1" w:rsidP="00D87929">
            <w:pPr>
              <w:rPr>
                <w:rFonts w:eastAsia="Calibri" w:cs="Arial"/>
                <w:szCs w:val="22"/>
              </w:rPr>
            </w:pPr>
            <w:r w:rsidRPr="00A85FEA">
              <w:rPr>
                <w:rFonts w:eastAsia="Calibri" w:cs="Arial"/>
                <w:szCs w:val="22"/>
              </w:rPr>
              <w:t>Subdirector Administrativo y Financiero</w:t>
            </w:r>
          </w:p>
        </w:tc>
      </w:tr>
      <w:tr w:rsidR="00A85FEA" w:rsidRPr="00A85FEA" w14:paraId="6430E6EF" w14:textId="77777777" w:rsidTr="003A339B">
        <w:tc>
          <w:tcPr>
            <w:tcW w:w="4743" w:type="dxa"/>
          </w:tcPr>
          <w:p w14:paraId="0731535D" w14:textId="77777777" w:rsidR="00F53AB1" w:rsidRPr="00A85FEA" w:rsidRDefault="00F53AB1" w:rsidP="00D87929">
            <w:pPr>
              <w:rPr>
                <w:rFonts w:eastAsia="Calibri" w:cs="Arial"/>
                <w:szCs w:val="22"/>
              </w:rPr>
            </w:pPr>
            <w:r w:rsidRPr="00A85FEA">
              <w:rPr>
                <w:rFonts w:eastAsia="Calibri" w:cs="Arial"/>
                <w:bCs/>
                <w:szCs w:val="22"/>
              </w:rPr>
              <w:t>Ivonne Carmenza Hernández </w:t>
            </w:r>
          </w:p>
        </w:tc>
        <w:tc>
          <w:tcPr>
            <w:tcW w:w="4743" w:type="dxa"/>
          </w:tcPr>
          <w:p w14:paraId="0A57C518" w14:textId="77777777" w:rsidR="00F53AB1" w:rsidRPr="00A85FEA" w:rsidRDefault="00F53AB1" w:rsidP="00D87929">
            <w:pPr>
              <w:rPr>
                <w:rFonts w:eastAsia="Calibri" w:cs="Arial"/>
                <w:szCs w:val="22"/>
              </w:rPr>
            </w:pPr>
            <w:r w:rsidRPr="00A85FEA">
              <w:rPr>
                <w:rFonts w:eastAsia="Calibri" w:cs="Arial"/>
                <w:szCs w:val="22"/>
              </w:rPr>
              <w:t>Secretaria General</w:t>
            </w:r>
          </w:p>
        </w:tc>
      </w:tr>
      <w:tr w:rsidR="00A85FEA" w:rsidRPr="00A85FEA" w14:paraId="4CE757F0" w14:textId="77777777" w:rsidTr="003A339B">
        <w:tc>
          <w:tcPr>
            <w:tcW w:w="4743" w:type="dxa"/>
          </w:tcPr>
          <w:p w14:paraId="43184806" w14:textId="77777777" w:rsidR="00F53AB1" w:rsidRPr="00A85FEA" w:rsidRDefault="00F53AB1" w:rsidP="00D87929">
            <w:pPr>
              <w:rPr>
                <w:rFonts w:eastAsia="Calibri" w:cs="Arial"/>
                <w:szCs w:val="22"/>
              </w:rPr>
            </w:pPr>
            <w:r w:rsidRPr="00A85FEA">
              <w:rPr>
                <w:rFonts w:eastAsia="Calibri" w:cs="Arial"/>
                <w:szCs w:val="22"/>
              </w:rPr>
              <w:t>Zulma Clavijo</w:t>
            </w:r>
          </w:p>
        </w:tc>
        <w:tc>
          <w:tcPr>
            <w:tcW w:w="4743" w:type="dxa"/>
          </w:tcPr>
          <w:p w14:paraId="158FE8EC" w14:textId="77777777" w:rsidR="00F53AB1" w:rsidRPr="00A85FEA" w:rsidRDefault="00F53AB1" w:rsidP="00D87929">
            <w:pPr>
              <w:rPr>
                <w:rFonts w:eastAsia="Calibri" w:cs="Arial"/>
                <w:szCs w:val="22"/>
              </w:rPr>
            </w:pPr>
            <w:r w:rsidRPr="00A85FEA">
              <w:rPr>
                <w:rFonts w:eastAsia="Calibri" w:cs="Arial"/>
                <w:szCs w:val="22"/>
              </w:rPr>
              <w:t>Contadora</w:t>
            </w:r>
          </w:p>
        </w:tc>
      </w:tr>
      <w:tr w:rsidR="00A85FEA" w:rsidRPr="00A85FEA" w14:paraId="6BD4D635" w14:textId="77777777" w:rsidTr="003A339B">
        <w:tc>
          <w:tcPr>
            <w:tcW w:w="4743" w:type="dxa"/>
          </w:tcPr>
          <w:p w14:paraId="6225607C" w14:textId="77777777" w:rsidR="00F53AB1" w:rsidRPr="00A85FEA" w:rsidRDefault="00F53AB1" w:rsidP="00D87929">
            <w:pPr>
              <w:rPr>
                <w:rFonts w:eastAsia="Calibri" w:cs="Arial"/>
                <w:szCs w:val="22"/>
              </w:rPr>
            </w:pPr>
            <w:r w:rsidRPr="00A85FEA">
              <w:rPr>
                <w:rFonts w:eastAsia="Calibri" w:cs="Arial"/>
                <w:szCs w:val="22"/>
              </w:rPr>
              <w:t>Gloria Inés Cuenca</w:t>
            </w:r>
          </w:p>
        </w:tc>
        <w:tc>
          <w:tcPr>
            <w:tcW w:w="4743" w:type="dxa"/>
          </w:tcPr>
          <w:p w14:paraId="4EF36E21" w14:textId="77777777" w:rsidR="00F53AB1" w:rsidRPr="00A85FEA" w:rsidRDefault="00F53AB1" w:rsidP="00D87929">
            <w:pPr>
              <w:rPr>
                <w:rFonts w:eastAsia="Calibri" w:cs="Arial"/>
                <w:szCs w:val="22"/>
              </w:rPr>
            </w:pPr>
            <w:r w:rsidRPr="00A85FEA">
              <w:rPr>
                <w:rFonts w:eastAsia="Calibri" w:cs="Arial"/>
                <w:szCs w:val="22"/>
              </w:rPr>
              <w:t>Almacenista</w:t>
            </w:r>
          </w:p>
        </w:tc>
      </w:tr>
      <w:tr w:rsidR="00F53AB1" w:rsidRPr="00A85FEA" w14:paraId="5B999BA2" w14:textId="77777777" w:rsidTr="003A339B">
        <w:tc>
          <w:tcPr>
            <w:tcW w:w="4743" w:type="dxa"/>
          </w:tcPr>
          <w:p w14:paraId="5F2A9082" w14:textId="77777777" w:rsidR="00F53AB1" w:rsidRPr="00A85FEA" w:rsidRDefault="00F53AB1" w:rsidP="00D87929">
            <w:pPr>
              <w:rPr>
                <w:rFonts w:eastAsia="Calibri" w:cs="Arial"/>
                <w:szCs w:val="22"/>
              </w:rPr>
            </w:pPr>
            <w:r w:rsidRPr="00A85FEA">
              <w:rPr>
                <w:rFonts w:eastAsia="Calibri" w:cs="Arial"/>
                <w:szCs w:val="22"/>
              </w:rPr>
              <w:t>Doris Mora</w:t>
            </w:r>
          </w:p>
        </w:tc>
        <w:tc>
          <w:tcPr>
            <w:tcW w:w="4743" w:type="dxa"/>
          </w:tcPr>
          <w:p w14:paraId="7EF6C2BC" w14:textId="77777777" w:rsidR="00F53AB1" w:rsidRPr="00A85FEA" w:rsidRDefault="00F53AB1" w:rsidP="00D87929">
            <w:pPr>
              <w:rPr>
                <w:rFonts w:eastAsia="Calibri" w:cs="Arial"/>
                <w:szCs w:val="22"/>
              </w:rPr>
            </w:pPr>
            <w:r w:rsidRPr="00A85FEA">
              <w:rPr>
                <w:rFonts w:eastAsia="Calibri" w:cs="Arial"/>
                <w:szCs w:val="22"/>
              </w:rPr>
              <w:t>Tesorera</w:t>
            </w:r>
          </w:p>
        </w:tc>
      </w:tr>
    </w:tbl>
    <w:p w14:paraId="2EF48113" w14:textId="77777777" w:rsidR="00F53AB1" w:rsidRPr="00A85FEA" w:rsidRDefault="00F53AB1" w:rsidP="00D87929">
      <w:pPr>
        <w:rPr>
          <w:rFonts w:cs="Arial"/>
          <w:szCs w:val="22"/>
          <w:lang w:eastAsia="es-CO"/>
        </w:rPr>
      </w:pPr>
    </w:p>
    <w:p w14:paraId="75088CF7" w14:textId="77777777" w:rsidR="00F53AB1" w:rsidRPr="00A85FEA" w:rsidRDefault="00F53AB1" w:rsidP="00A85FEA">
      <w:pPr>
        <w:pStyle w:val="Ttulo1"/>
        <w:rPr>
          <w:rStyle w:val="Ttulodellibro"/>
          <w:rFonts w:ascii="Arial" w:hAnsi="Arial" w:cs="Arial"/>
          <w:b/>
          <w:bCs/>
          <w:smallCaps w:val="0"/>
          <w:color w:val="auto"/>
          <w:spacing w:val="0"/>
          <w:sz w:val="22"/>
          <w:szCs w:val="22"/>
        </w:rPr>
      </w:pPr>
      <w:bookmarkStart w:id="6" w:name="_Toc525721306"/>
      <w:r w:rsidRPr="00A85FEA">
        <w:rPr>
          <w:rStyle w:val="Ttulodellibro"/>
          <w:rFonts w:ascii="Arial" w:hAnsi="Arial" w:cs="Arial"/>
          <w:b/>
          <w:bCs/>
          <w:smallCaps w:val="0"/>
          <w:color w:val="auto"/>
          <w:spacing w:val="0"/>
          <w:sz w:val="22"/>
          <w:szCs w:val="22"/>
        </w:rPr>
        <w:t>5.1. Funciones del Líder del Comité Técnico de Sostenibilidad del Sistema Contable</w:t>
      </w:r>
      <w:bookmarkEnd w:id="6"/>
    </w:p>
    <w:p w14:paraId="6414E27A" w14:textId="77777777" w:rsidR="00F53AB1" w:rsidRPr="00A85FEA" w:rsidRDefault="00F53AB1" w:rsidP="00D87929">
      <w:pPr>
        <w:rPr>
          <w:rFonts w:eastAsia="Calibri" w:cs="Arial"/>
          <w:szCs w:val="22"/>
        </w:rPr>
      </w:pPr>
    </w:p>
    <w:p w14:paraId="1041612D" w14:textId="77777777" w:rsidR="00F53AB1" w:rsidRPr="00A85FEA" w:rsidRDefault="00F53AB1" w:rsidP="00C81F9F">
      <w:pPr>
        <w:jc w:val="both"/>
        <w:rPr>
          <w:rFonts w:eastAsia="Calibri" w:cs="Arial"/>
          <w:szCs w:val="22"/>
        </w:rPr>
      </w:pPr>
      <w:r w:rsidRPr="00A85FEA">
        <w:rPr>
          <w:rFonts w:eastAsia="Calibri" w:cs="Arial"/>
          <w:szCs w:val="22"/>
        </w:rPr>
        <w:t xml:space="preserve">Están establecidas en el Acta de fecha 15 de septiembre de 2017 de modificación del Comité Técnico de Sostenibilidad del Sistema Contable que forma parte integral de este documento. </w:t>
      </w:r>
    </w:p>
    <w:p w14:paraId="3739C2AE" w14:textId="77777777" w:rsidR="00F53AB1" w:rsidRPr="00FE2266" w:rsidRDefault="00F53AB1" w:rsidP="00FE2266">
      <w:pPr>
        <w:pStyle w:val="Ttulo1"/>
        <w:jc w:val="center"/>
        <w:rPr>
          <w:rStyle w:val="Ttulodellibro"/>
          <w:rFonts w:ascii="Arial" w:hAnsi="Arial" w:cs="Arial"/>
          <w:b/>
          <w:bCs/>
          <w:smallCaps w:val="0"/>
          <w:color w:val="auto"/>
          <w:spacing w:val="0"/>
          <w:sz w:val="22"/>
          <w:szCs w:val="22"/>
        </w:rPr>
      </w:pPr>
      <w:bookmarkStart w:id="7" w:name="_Toc525721307"/>
      <w:r w:rsidRPr="00FE2266">
        <w:rPr>
          <w:rStyle w:val="Ttulodellibro"/>
          <w:rFonts w:ascii="Arial" w:hAnsi="Arial" w:cs="Arial"/>
          <w:b/>
          <w:bCs/>
          <w:smallCaps w:val="0"/>
          <w:color w:val="auto"/>
          <w:spacing w:val="0"/>
          <w:sz w:val="22"/>
          <w:szCs w:val="22"/>
        </w:rPr>
        <w:t>CAPITULO I. POLÍTICAS GENERALES</w:t>
      </w:r>
      <w:bookmarkEnd w:id="7"/>
    </w:p>
    <w:p w14:paraId="3DEE640E" w14:textId="77777777" w:rsidR="00F53AB1" w:rsidRPr="00A85FEA" w:rsidRDefault="00F53AB1" w:rsidP="00D87929">
      <w:pPr>
        <w:pStyle w:val="Ttulo1"/>
        <w:rPr>
          <w:rStyle w:val="Ttulodellibro"/>
          <w:rFonts w:ascii="Arial" w:hAnsi="Arial" w:cs="Arial"/>
          <w:color w:val="auto"/>
          <w:sz w:val="22"/>
          <w:szCs w:val="22"/>
        </w:rPr>
      </w:pPr>
      <w:bookmarkStart w:id="8" w:name="_Toc525721308"/>
      <w:r w:rsidRPr="00A85FEA">
        <w:rPr>
          <w:rStyle w:val="Ttulodellibro"/>
          <w:rFonts w:ascii="Arial" w:hAnsi="Arial" w:cs="Arial"/>
          <w:color w:val="auto"/>
          <w:sz w:val="22"/>
          <w:szCs w:val="22"/>
        </w:rPr>
        <w:t>1. DEFINICIÓN DE POLÍTICAS CONTABLES</w:t>
      </w:r>
      <w:bookmarkEnd w:id="8"/>
    </w:p>
    <w:p w14:paraId="7D813490" w14:textId="77777777" w:rsidR="00F53AB1" w:rsidRPr="00A85FEA" w:rsidRDefault="00F53AB1" w:rsidP="00D87929">
      <w:pPr>
        <w:rPr>
          <w:rFonts w:cs="Arial"/>
          <w:szCs w:val="22"/>
        </w:rPr>
      </w:pPr>
    </w:p>
    <w:p w14:paraId="60CA8374" w14:textId="77777777" w:rsidR="00F53AB1" w:rsidRPr="00A85FEA" w:rsidRDefault="00F53AB1" w:rsidP="00D87929">
      <w:pPr>
        <w:rPr>
          <w:rFonts w:cs="Arial"/>
          <w:szCs w:val="22"/>
        </w:rPr>
      </w:pPr>
      <w:r w:rsidRPr="00A85FEA">
        <w:rPr>
          <w:rFonts w:cs="Arial"/>
          <w:szCs w:val="22"/>
        </w:rPr>
        <w:t xml:space="preserve">Las políticas contables son los principios, bases, convenciones, reglas y procedimientos específicos adoptados por el </w:t>
      </w:r>
      <w:r w:rsidRPr="00A85FEA">
        <w:rPr>
          <w:rFonts w:eastAsia="Calibri" w:cs="Arial"/>
          <w:szCs w:val="22"/>
        </w:rPr>
        <w:t>la Corporación para el Desarrollo Sostenible del Norte y el Oriente Amazónico – CDA</w:t>
      </w:r>
      <w:r w:rsidRPr="00A85FEA">
        <w:rPr>
          <w:rFonts w:cs="Arial"/>
          <w:szCs w:val="22"/>
        </w:rPr>
        <w:t xml:space="preserve"> para elaborar y presentar los estados financieros.</w:t>
      </w:r>
    </w:p>
    <w:p w14:paraId="5421DED1" w14:textId="77777777" w:rsidR="00F53AB1" w:rsidRPr="00A85FEA" w:rsidRDefault="00F53AB1" w:rsidP="00D87929">
      <w:pPr>
        <w:pStyle w:val="Ttulo1"/>
        <w:rPr>
          <w:rStyle w:val="Ttulodellibro"/>
          <w:rFonts w:ascii="Arial" w:hAnsi="Arial" w:cs="Arial"/>
          <w:color w:val="auto"/>
          <w:sz w:val="22"/>
          <w:szCs w:val="22"/>
        </w:rPr>
      </w:pPr>
      <w:bookmarkStart w:id="9" w:name="_Toc525721309"/>
      <w:r w:rsidRPr="00A85FEA">
        <w:rPr>
          <w:rStyle w:val="Ttulodellibro"/>
          <w:rFonts w:ascii="Arial" w:hAnsi="Arial" w:cs="Arial"/>
          <w:color w:val="auto"/>
          <w:sz w:val="22"/>
          <w:szCs w:val="22"/>
        </w:rPr>
        <w:t>2. POLÍTICAS PARA DEFINICIONES CONTABLES</w:t>
      </w:r>
      <w:bookmarkEnd w:id="9"/>
    </w:p>
    <w:p w14:paraId="326DE46C" w14:textId="77777777" w:rsidR="00F53AB1" w:rsidRPr="00A85FEA" w:rsidRDefault="00F53AB1" w:rsidP="00D87929">
      <w:pPr>
        <w:rPr>
          <w:rFonts w:cs="Arial"/>
          <w:szCs w:val="22"/>
        </w:rPr>
      </w:pPr>
    </w:p>
    <w:p w14:paraId="3CE0DDAC" w14:textId="77777777" w:rsidR="00F53AB1" w:rsidRPr="00A85FEA" w:rsidRDefault="00F53AB1" w:rsidP="00D87929">
      <w:pPr>
        <w:rPr>
          <w:rFonts w:cs="Arial"/>
          <w:szCs w:val="22"/>
        </w:rPr>
      </w:pPr>
      <w:r w:rsidRPr="00A85FEA">
        <w:rPr>
          <w:rFonts w:cs="Arial"/>
          <w:szCs w:val="22"/>
        </w:rPr>
        <w:t xml:space="preserve">Las definiciones contables están contenidas en el Marco Normativo para entidades de gobierno y son responsabilidad del contador informar al comité técnico de sostenibilidad </w:t>
      </w:r>
      <w:r w:rsidRPr="00A85FEA">
        <w:rPr>
          <w:rFonts w:cs="Arial"/>
          <w:szCs w:val="22"/>
        </w:rPr>
        <w:lastRenderedPageBreak/>
        <w:t xml:space="preserve">del sistema contable sobre cambios significativos que le impliquen modificaciones para ser aprobadas. </w:t>
      </w:r>
    </w:p>
    <w:p w14:paraId="19A4F28B" w14:textId="77777777" w:rsidR="00F53AB1" w:rsidRPr="00A85FEA" w:rsidRDefault="00F53AB1" w:rsidP="00D87929">
      <w:pPr>
        <w:pStyle w:val="Ttulo1"/>
        <w:rPr>
          <w:rStyle w:val="Ttulodellibro"/>
          <w:rFonts w:ascii="Arial" w:hAnsi="Arial" w:cs="Arial"/>
          <w:color w:val="auto"/>
          <w:sz w:val="22"/>
          <w:szCs w:val="22"/>
        </w:rPr>
      </w:pPr>
      <w:bookmarkStart w:id="10" w:name="_Toc525721310"/>
      <w:r w:rsidRPr="00A85FEA">
        <w:rPr>
          <w:rStyle w:val="Ttulodellibro"/>
          <w:rFonts w:ascii="Arial" w:hAnsi="Arial" w:cs="Arial"/>
          <w:color w:val="auto"/>
          <w:sz w:val="22"/>
          <w:szCs w:val="22"/>
        </w:rPr>
        <w:t>3. POLÍTICAS PARA TRANSACCIONES NO RUTINARIAS</w:t>
      </w:r>
      <w:bookmarkEnd w:id="10"/>
    </w:p>
    <w:p w14:paraId="67F976EA" w14:textId="77777777" w:rsidR="00F53AB1" w:rsidRPr="00A85FEA" w:rsidRDefault="00F53AB1" w:rsidP="00D87929">
      <w:pPr>
        <w:rPr>
          <w:rFonts w:cs="Arial"/>
          <w:szCs w:val="22"/>
        </w:rPr>
      </w:pPr>
    </w:p>
    <w:p w14:paraId="6853E697" w14:textId="77777777" w:rsidR="00F53AB1" w:rsidRPr="00A85FEA" w:rsidRDefault="00F53AB1" w:rsidP="00D87929">
      <w:pPr>
        <w:rPr>
          <w:rFonts w:cs="Arial"/>
          <w:szCs w:val="22"/>
          <w:shd w:val="clear" w:color="auto" w:fill="FFFFFF"/>
        </w:rPr>
      </w:pPr>
      <w:r w:rsidRPr="00A85FEA">
        <w:rPr>
          <w:rFonts w:cs="Arial"/>
          <w:szCs w:val="22"/>
        </w:rPr>
        <w:t xml:space="preserve">El contador pone en conocimiento y solicita aprobación del comité técnico de sostenibilidad del sistema contable en los casos que se presenten transacciones no habituales en el giro normal de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eastAsia="Calibri" w:cs="Arial"/>
          <w:szCs w:val="22"/>
        </w:rPr>
        <w:t>, de ser necesario,</w:t>
      </w:r>
      <w:r w:rsidRPr="00A85FEA">
        <w:rPr>
          <w:rFonts w:cs="Arial"/>
          <w:szCs w:val="22"/>
        </w:rPr>
        <w:t xml:space="preserve"> consulta el caso  a la Contaduría General de la Nación a través de sus canales de atención al ciudadano, correo electrónico: </w:t>
      </w:r>
      <w:hyperlink r:id="rId8" w:history="1">
        <w:r w:rsidRPr="00A85FEA">
          <w:rPr>
            <w:rStyle w:val="Hipervnculo"/>
            <w:rFonts w:cs="Arial"/>
            <w:color w:val="auto"/>
            <w:szCs w:val="22"/>
            <w:shd w:val="clear" w:color="auto" w:fill="FFFFFF"/>
          </w:rPr>
          <w:t>contactenos@contaduria.gov.co</w:t>
        </w:r>
      </w:hyperlink>
      <w:r w:rsidRPr="00A85FEA">
        <w:rPr>
          <w:rStyle w:val="Hipervnculo"/>
          <w:rFonts w:cs="Arial"/>
          <w:color w:val="auto"/>
          <w:szCs w:val="22"/>
          <w:shd w:val="clear" w:color="auto" w:fill="FFFFFF"/>
        </w:rPr>
        <w:t>.</w:t>
      </w:r>
    </w:p>
    <w:p w14:paraId="75C22B29" w14:textId="77777777" w:rsidR="00F53AB1" w:rsidRPr="00A85FEA" w:rsidRDefault="00F53AB1" w:rsidP="00D87929">
      <w:pPr>
        <w:rPr>
          <w:rFonts w:cs="Arial"/>
          <w:szCs w:val="22"/>
        </w:rPr>
      </w:pPr>
    </w:p>
    <w:p w14:paraId="34FEAAD9" w14:textId="77777777" w:rsidR="00F53AB1" w:rsidRPr="00A85FEA" w:rsidRDefault="00F53AB1" w:rsidP="00D87929">
      <w:pPr>
        <w:pStyle w:val="Ttulo1"/>
        <w:jc w:val="both"/>
        <w:rPr>
          <w:rStyle w:val="Ttulodellibro"/>
          <w:rFonts w:ascii="Arial" w:hAnsi="Arial" w:cs="Arial"/>
          <w:color w:val="auto"/>
          <w:sz w:val="22"/>
          <w:szCs w:val="22"/>
        </w:rPr>
      </w:pPr>
      <w:bookmarkStart w:id="11" w:name="_Toc525721311"/>
      <w:r w:rsidRPr="00A85FEA">
        <w:rPr>
          <w:rStyle w:val="Ttulodellibro"/>
          <w:rFonts w:ascii="Arial" w:hAnsi="Arial" w:cs="Arial"/>
          <w:color w:val="auto"/>
          <w:sz w:val="22"/>
          <w:szCs w:val="22"/>
        </w:rPr>
        <w:t>4. POLÍTICAS PARA EL REGISTRO Y APROBACIÓN DE LOS COMPROBANTES CONTABLES</w:t>
      </w:r>
      <w:bookmarkEnd w:id="11"/>
    </w:p>
    <w:p w14:paraId="28ED107D" w14:textId="77777777" w:rsidR="00F53AB1" w:rsidRPr="00A85FEA" w:rsidRDefault="00F53AB1" w:rsidP="00D87929">
      <w:pPr>
        <w:rPr>
          <w:rFonts w:cs="Arial"/>
          <w:szCs w:val="22"/>
        </w:rPr>
      </w:pPr>
    </w:p>
    <w:p w14:paraId="299E5418" w14:textId="77777777" w:rsidR="00F53AB1" w:rsidRPr="00A85FEA" w:rsidRDefault="00F53AB1" w:rsidP="00FE2266">
      <w:pPr>
        <w:jc w:val="both"/>
        <w:rPr>
          <w:rFonts w:cs="Arial"/>
          <w:szCs w:val="22"/>
        </w:rPr>
      </w:pPr>
      <w:r w:rsidRPr="00A85FEA">
        <w:rPr>
          <w:rFonts w:cs="Arial"/>
          <w:szCs w:val="22"/>
        </w:rPr>
        <w:t xml:space="preserve">El contador es el encargado de definir los documentos a utilizar en los registros contables, los cuales debe dejar documentados y actualizados en el manual de procesos y procedimientos.  Los comprobantes tienen firma de elaborado y aprobado según la delegación de responsabilidades que se definan en el manual de procedimientos. </w:t>
      </w:r>
    </w:p>
    <w:p w14:paraId="3A0CD78A" w14:textId="77777777" w:rsidR="00F53AB1" w:rsidRPr="00FE2266" w:rsidRDefault="00F53AB1" w:rsidP="00D87929">
      <w:pPr>
        <w:pStyle w:val="Ttulo1"/>
        <w:jc w:val="both"/>
        <w:rPr>
          <w:rStyle w:val="Ttulodellibro"/>
          <w:rFonts w:ascii="Arial" w:hAnsi="Arial" w:cs="Arial"/>
          <w:color w:val="auto"/>
          <w:sz w:val="22"/>
          <w:szCs w:val="22"/>
        </w:rPr>
      </w:pPr>
      <w:bookmarkStart w:id="12" w:name="_Toc525721312"/>
      <w:r w:rsidRPr="00FE2266">
        <w:rPr>
          <w:rStyle w:val="Ttulodellibro"/>
          <w:rFonts w:ascii="Arial" w:hAnsi="Arial" w:cs="Arial"/>
          <w:color w:val="auto"/>
          <w:sz w:val="22"/>
          <w:szCs w:val="22"/>
        </w:rPr>
        <w:t>5. NUEVOS PROCEDIMIENTOS CONTABLES</w:t>
      </w:r>
      <w:bookmarkEnd w:id="12"/>
    </w:p>
    <w:p w14:paraId="19B5932A" w14:textId="77777777" w:rsidR="00F53AB1" w:rsidRPr="00A85FEA" w:rsidRDefault="00F53AB1" w:rsidP="00D87929">
      <w:pPr>
        <w:rPr>
          <w:rFonts w:cs="Arial"/>
          <w:szCs w:val="22"/>
        </w:rPr>
      </w:pPr>
    </w:p>
    <w:p w14:paraId="65DB776A" w14:textId="77777777" w:rsidR="00F53AB1" w:rsidRPr="00A85FEA" w:rsidRDefault="00F53AB1" w:rsidP="00FE2266">
      <w:pPr>
        <w:jc w:val="both"/>
        <w:rPr>
          <w:rFonts w:cs="Arial"/>
          <w:szCs w:val="22"/>
        </w:rPr>
      </w:pPr>
      <w:r w:rsidRPr="00A85FEA">
        <w:rPr>
          <w:rFonts w:cs="Arial"/>
          <w:szCs w:val="22"/>
        </w:rPr>
        <w:t>El contador es la persona encargada de aplicar los procedimientos emitidos por la Contaduría General de la Nación.</w:t>
      </w:r>
    </w:p>
    <w:p w14:paraId="2F811073" w14:textId="77777777" w:rsidR="00F53AB1" w:rsidRPr="00FE2266" w:rsidRDefault="00F53AB1" w:rsidP="00D87929">
      <w:pPr>
        <w:pStyle w:val="Ttulo1"/>
        <w:jc w:val="both"/>
        <w:rPr>
          <w:rStyle w:val="Ttulodellibro"/>
          <w:rFonts w:ascii="Arial" w:hAnsi="Arial" w:cs="Arial"/>
          <w:color w:val="auto"/>
          <w:sz w:val="22"/>
          <w:szCs w:val="22"/>
        </w:rPr>
      </w:pPr>
      <w:bookmarkStart w:id="13" w:name="_Toc525721313"/>
      <w:r w:rsidRPr="00FE2266">
        <w:rPr>
          <w:rStyle w:val="Ttulodellibro"/>
          <w:rFonts w:ascii="Arial" w:hAnsi="Arial" w:cs="Arial"/>
          <w:color w:val="auto"/>
          <w:sz w:val="22"/>
          <w:szCs w:val="22"/>
        </w:rPr>
        <w:t>6. FLUJO DE INFORMACIÓN</w:t>
      </w:r>
      <w:bookmarkEnd w:id="13"/>
    </w:p>
    <w:p w14:paraId="0560D7AF" w14:textId="77777777" w:rsidR="00F53AB1" w:rsidRPr="00A85FEA" w:rsidRDefault="00F53AB1" w:rsidP="00D87929">
      <w:pPr>
        <w:rPr>
          <w:rFonts w:cs="Arial"/>
          <w:szCs w:val="22"/>
        </w:rPr>
      </w:pPr>
    </w:p>
    <w:p w14:paraId="6F3F081F" w14:textId="77777777" w:rsidR="00F53AB1" w:rsidRPr="00A85FEA" w:rsidRDefault="00F53AB1" w:rsidP="00FE2266">
      <w:pPr>
        <w:jc w:val="both"/>
        <w:rPr>
          <w:rFonts w:cs="Arial"/>
          <w:szCs w:val="22"/>
        </w:rPr>
      </w:pPr>
      <w:r w:rsidRPr="00A85FEA">
        <w:rPr>
          <w:rFonts w:cs="Arial"/>
          <w:szCs w:val="22"/>
        </w:rPr>
        <w:t xml:space="preserve">Las áreas que participan en las operaciones que deban ser registradas contablemente deben garantizar un adecuado flujo de información con contabilidad que permita reconocer oportuna y adecuadamente los hechos económicos, financieros, sociales y ambientales de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w:t>
      </w:r>
    </w:p>
    <w:p w14:paraId="60278C43" w14:textId="77777777" w:rsidR="00F53AB1" w:rsidRPr="00FE2266" w:rsidRDefault="00F53AB1" w:rsidP="00FE2266">
      <w:pPr>
        <w:pStyle w:val="Ttulo1"/>
        <w:rPr>
          <w:rStyle w:val="Ttulodellibro"/>
          <w:rFonts w:ascii="Arial" w:hAnsi="Arial" w:cs="Arial"/>
          <w:bCs/>
          <w:smallCaps w:val="0"/>
          <w:color w:val="auto"/>
          <w:spacing w:val="0"/>
          <w:sz w:val="22"/>
          <w:szCs w:val="22"/>
        </w:rPr>
      </w:pPr>
      <w:bookmarkStart w:id="14" w:name="_Toc525721314"/>
      <w:r w:rsidRPr="00FE2266">
        <w:rPr>
          <w:rStyle w:val="Ttulodellibro"/>
          <w:rFonts w:ascii="Arial" w:hAnsi="Arial" w:cs="Arial"/>
          <w:bCs/>
          <w:smallCaps w:val="0"/>
          <w:color w:val="auto"/>
          <w:spacing w:val="0"/>
          <w:sz w:val="22"/>
          <w:szCs w:val="22"/>
        </w:rPr>
        <w:t>6.1. Diario</w:t>
      </w:r>
      <w:bookmarkEnd w:id="14"/>
    </w:p>
    <w:p w14:paraId="683CE20B" w14:textId="77777777" w:rsidR="00F53AB1" w:rsidRPr="00A85FEA" w:rsidRDefault="00F53AB1" w:rsidP="00D87929">
      <w:pPr>
        <w:rPr>
          <w:rFonts w:cs="Arial"/>
          <w:szCs w:val="22"/>
        </w:rPr>
      </w:pPr>
    </w:p>
    <w:p w14:paraId="02B8BBEE" w14:textId="77777777" w:rsidR="00F53AB1" w:rsidRPr="00A85FEA" w:rsidRDefault="00F53AB1" w:rsidP="005B413F">
      <w:pPr>
        <w:jc w:val="both"/>
        <w:rPr>
          <w:rFonts w:cs="Arial"/>
          <w:szCs w:val="22"/>
        </w:rPr>
      </w:pPr>
      <w:r w:rsidRPr="00A85FEA">
        <w:rPr>
          <w:rFonts w:cs="Arial"/>
          <w:szCs w:val="22"/>
        </w:rPr>
        <w:t xml:space="preserve">Corresponde a los hechos económicos, que nacen en las distintas áreas, que se registran de manera manual o directamente en los módulos del sistema de información de </w:t>
      </w:r>
      <w:r w:rsidRPr="00A85FEA">
        <w:rPr>
          <w:rFonts w:eastAsia="Calibri" w:cs="Arial"/>
          <w:szCs w:val="22"/>
        </w:rPr>
        <w:t xml:space="preserve">la </w:t>
      </w:r>
      <w:r w:rsidRPr="00A85FEA">
        <w:rPr>
          <w:rFonts w:cs="Arial"/>
          <w:bCs/>
          <w:szCs w:val="22"/>
        </w:rPr>
        <w:lastRenderedPageBreak/>
        <w:t>Corporación para el Desarrollo Sostenible del Norte y el Oriente Amazónico – CDA</w:t>
      </w:r>
      <w:r w:rsidRPr="00A85FEA">
        <w:rPr>
          <w:rFonts w:cs="Arial"/>
          <w:szCs w:val="22"/>
        </w:rPr>
        <w:t>, con disponibilidad inmediata para que contabilidad pueda realizar, las revisiones, respecto a la identificación o reclasificación de los mismos, así:</w:t>
      </w:r>
    </w:p>
    <w:p w14:paraId="040E5D93" w14:textId="77777777" w:rsidR="00F53AB1" w:rsidRPr="00A85FEA" w:rsidRDefault="00F53AB1" w:rsidP="005B413F">
      <w:pPr>
        <w:jc w:val="both"/>
        <w:rPr>
          <w:rFonts w:cs="Arial"/>
          <w:szCs w:val="22"/>
        </w:rPr>
      </w:pPr>
    </w:p>
    <w:p w14:paraId="36288827" w14:textId="77777777" w:rsidR="00F53AB1" w:rsidRPr="00A85FEA" w:rsidRDefault="00F53AB1" w:rsidP="005B413F">
      <w:pPr>
        <w:jc w:val="both"/>
        <w:rPr>
          <w:rFonts w:cs="Arial"/>
          <w:szCs w:val="22"/>
        </w:rPr>
      </w:pPr>
      <w:r w:rsidRPr="00A85FEA">
        <w:rPr>
          <w:rFonts w:cs="Arial"/>
          <w:szCs w:val="22"/>
        </w:rPr>
        <w:t>Tesorería. Recaudos y pagos de obligaciones y demás hechos</w:t>
      </w:r>
    </w:p>
    <w:p w14:paraId="4BFC1008" w14:textId="77777777" w:rsidR="00F53AB1" w:rsidRPr="00A85FEA" w:rsidRDefault="00F53AB1" w:rsidP="005B413F">
      <w:pPr>
        <w:jc w:val="both"/>
        <w:rPr>
          <w:rFonts w:cs="Arial"/>
          <w:szCs w:val="22"/>
        </w:rPr>
      </w:pPr>
      <w:r w:rsidRPr="00A85FEA">
        <w:rPr>
          <w:rFonts w:cs="Arial"/>
          <w:szCs w:val="22"/>
        </w:rPr>
        <w:t>Almacén. Entradas y salidas de almacén y demás hechos</w:t>
      </w:r>
    </w:p>
    <w:p w14:paraId="1FFFE597" w14:textId="77777777" w:rsidR="00F53AB1" w:rsidRPr="00A85FEA" w:rsidRDefault="00F53AB1" w:rsidP="005B413F">
      <w:pPr>
        <w:jc w:val="both"/>
        <w:rPr>
          <w:rFonts w:cs="Arial"/>
          <w:szCs w:val="22"/>
        </w:rPr>
      </w:pPr>
      <w:r w:rsidRPr="00A85FEA">
        <w:rPr>
          <w:rFonts w:cs="Arial"/>
          <w:szCs w:val="22"/>
        </w:rPr>
        <w:t xml:space="preserve">Directores seccionales. Facturación de tasas; facturación de evaluación y seguimiento; actos administrativos sancionatorios; </w:t>
      </w:r>
      <w:r w:rsidR="003A339B" w:rsidRPr="00A85FEA">
        <w:rPr>
          <w:rFonts w:cs="Arial"/>
          <w:szCs w:val="22"/>
        </w:rPr>
        <w:t>trámites</w:t>
      </w:r>
      <w:r w:rsidRPr="00A85FEA">
        <w:rPr>
          <w:rFonts w:cs="Arial"/>
          <w:szCs w:val="22"/>
        </w:rPr>
        <w:t xml:space="preserve"> ambientales y demás hechos </w:t>
      </w:r>
    </w:p>
    <w:p w14:paraId="37178DCD" w14:textId="77777777" w:rsidR="00F53AB1" w:rsidRPr="00A85FEA" w:rsidRDefault="00F53AB1" w:rsidP="005B413F">
      <w:pPr>
        <w:jc w:val="both"/>
        <w:rPr>
          <w:rFonts w:cs="Arial"/>
          <w:szCs w:val="22"/>
        </w:rPr>
      </w:pPr>
      <w:r w:rsidRPr="00A85FEA">
        <w:rPr>
          <w:rFonts w:cs="Arial"/>
          <w:szCs w:val="22"/>
        </w:rPr>
        <w:t>Dirección general. Suscripción de contratos y convenios y demás hechos</w:t>
      </w:r>
    </w:p>
    <w:p w14:paraId="1DA7B0F0" w14:textId="77777777" w:rsidR="00F53AB1" w:rsidRPr="00A85FEA" w:rsidRDefault="00F53AB1" w:rsidP="005B413F">
      <w:pPr>
        <w:jc w:val="both"/>
        <w:rPr>
          <w:rFonts w:cs="Arial"/>
          <w:szCs w:val="22"/>
        </w:rPr>
      </w:pPr>
      <w:r w:rsidRPr="00A85FEA">
        <w:rPr>
          <w:rFonts w:cs="Arial"/>
          <w:szCs w:val="22"/>
        </w:rPr>
        <w:t>Presupuesto. Causaciones de cuentas por pagar y demás hechos</w:t>
      </w:r>
    </w:p>
    <w:p w14:paraId="453BBB42" w14:textId="77777777" w:rsidR="00F53AB1" w:rsidRPr="00A85FEA" w:rsidRDefault="00F53AB1" w:rsidP="005B413F">
      <w:pPr>
        <w:jc w:val="both"/>
        <w:rPr>
          <w:rFonts w:cs="Arial"/>
          <w:szCs w:val="22"/>
        </w:rPr>
      </w:pPr>
      <w:r w:rsidRPr="00A85FEA">
        <w:rPr>
          <w:rFonts w:cs="Arial"/>
          <w:szCs w:val="22"/>
        </w:rPr>
        <w:t>Nómina. Legalizaciones de gastos de viaje y demás hechos</w:t>
      </w:r>
    </w:p>
    <w:p w14:paraId="1F8BA52D" w14:textId="77777777" w:rsidR="00F53AB1" w:rsidRPr="00A85FEA" w:rsidRDefault="00F53AB1" w:rsidP="005B413F">
      <w:pPr>
        <w:jc w:val="both"/>
        <w:rPr>
          <w:rFonts w:cs="Arial"/>
          <w:szCs w:val="22"/>
        </w:rPr>
      </w:pPr>
      <w:r w:rsidRPr="00A85FEA">
        <w:rPr>
          <w:rFonts w:cs="Arial"/>
          <w:szCs w:val="22"/>
        </w:rPr>
        <w:t>Supervisores. Legalización de anticipos y certificado de cumplimiento del contrato o convenio y demás hechos</w:t>
      </w:r>
    </w:p>
    <w:p w14:paraId="4B4C6CCA" w14:textId="77777777" w:rsidR="00FA21D5" w:rsidRDefault="00FA21D5" w:rsidP="00D87929">
      <w:pPr>
        <w:pStyle w:val="Ttulo1"/>
        <w:rPr>
          <w:rStyle w:val="Ttulodellibro"/>
          <w:rFonts w:ascii="Arial" w:hAnsi="Arial" w:cs="Arial"/>
          <w:b/>
          <w:bCs/>
          <w:smallCaps w:val="0"/>
          <w:color w:val="auto"/>
          <w:spacing w:val="0"/>
          <w:sz w:val="22"/>
          <w:szCs w:val="22"/>
        </w:rPr>
      </w:pPr>
    </w:p>
    <w:p w14:paraId="4DF65920" w14:textId="77777777" w:rsidR="00F53AB1" w:rsidRPr="00A85FEA" w:rsidRDefault="00F53AB1" w:rsidP="00D87929">
      <w:pPr>
        <w:pStyle w:val="Ttulo1"/>
        <w:rPr>
          <w:rStyle w:val="Ttulodellibro"/>
          <w:rFonts w:ascii="Arial" w:hAnsi="Arial" w:cs="Arial"/>
          <w:b/>
          <w:bCs/>
          <w:smallCaps w:val="0"/>
          <w:color w:val="auto"/>
          <w:spacing w:val="0"/>
          <w:sz w:val="22"/>
          <w:szCs w:val="22"/>
        </w:rPr>
      </w:pPr>
      <w:bookmarkStart w:id="15" w:name="_Toc525721315"/>
      <w:r w:rsidRPr="00A85FEA">
        <w:rPr>
          <w:rStyle w:val="Ttulodellibro"/>
          <w:rFonts w:ascii="Arial" w:hAnsi="Arial" w:cs="Arial"/>
          <w:b/>
          <w:bCs/>
          <w:smallCaps w:val="0"/>
          <w:color w:val="auto"/>
          <w:spacing w:val="0"/>
          <w:sz w:val="22"/>
          <w:szCs w:val="22"/>
        </w:rPr>
        <w:t>6.2. Mensual</w:t>
      </w:r>
      <w:bookmarkEnd w:id="15"/>
    </w:p>
    <w:p w14:paraId="7EC5EEFF" w14:textId="77777777" w:rsidR="00F53AB1" w:rsidRPr="00A85FEA" w:rsidRDefault="00F53AB1" w:rsidP="00D87929">
      <w:pPr>
        <w:rPr>
          <w:rFonts w:cs="Arial"/>
          <w:szCs w:val="22"/>
        </w:rPr>
      </w:pPr>
    </w:p>
    <w:p w14:paraId="0A6EACB1" w14:textId="77777777" w:rsidR="00F53AB1" w:rsidRPr="00A85FEA" w:rsidRDefault="00F53AB1" w:rsidP="00FE2266">
      <w:pPr>
        <w:jc w:val="both"/>
        <w:rPr>
          <w:rFonts w:cs="Arial"/>
          <w:szCs w:val="22"/>
        </w:rPr>
      </w:pPr>
      <w:r w:rsidRPr="00A85FEA">
        <w:rPr>
          <w:rFonts w:cs="Arial"/>
          <w:szCs w:val="22"/>
        </w:rPr>
        <w:t xml:space="preserve">Se presentan en procesos manuales o cargas masivas que deben registrarse en el software de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 xml:space="preserve">, entre ellos se tienen: </w:t>
      </w:r>
    </w:p>
    <w:p w14:paraId="52E3C61C" w14:textId="77777777" w:rsidR="00F53AB1" w:rsidRPr="00A85FEA" w:rsidRDefault="00F53AB1" w:rsidP="00FE2266">
      <w:pPr>
        <w:jc w:val="both"/>
        <w:rPr>
          <w:rFonts w:cs="Arial"/>
          <w:szCs w:val="22"/>
        </w:rPr>
      </w:pPr>
      <w:r w:rsidRPr="00A85FEA">
        <w:rPr>
          <w:rFonts w:cs="Arial"/>
          <w:szCs w:val="22"/>
        </w:rPr>
        <w:t xml:space="preserve">Almacén. Aplicación de las depreciaciones en el módulo de almacén, </w:t>
      </w:r>
    </w:p>
    <w:p w14:paraId="073408C7" w14:textId="77777777" w:rsidR="00F53AB1" w:rsidRPr="00A85FEA" w:rsidRDefault="00F53AB1" w:rsidP="00FE2266">
      <w:pPr>
        <w:jc w:val="both"/>
        <w:rPr>
          <w:rFonts w:cs="Arial"/>
          <w:szCs w:val="22"/>
        </w:rPr>
      </w:pPr>
      <w:r w:rsidRPr="00A85FEA">
        <w:rPr>
          <w:rFonts w:cs="Arial"/>
          <w:szCs w:val="22"/>
        </w:rPr>
        <w:t xml:space="preserve">Nómina. Registro de nómina y de las prestaciones sociales en el módulo de nómina, </w:t>
      </w:r>
    </w:p>
    <w:p w14:paraId="72415D48" w14:textId="77777777" w:rsidR="00F53AB1" w:rsidRPr="00A85FEA" w:rsidRDefault="00F53AB1" w:rsidP="00FE2266">
      <w:pPr>
        <w:jc w:val="both"/>
        <w:rPr>
          <w:rFonts w:cs="Arial"/>
          <w:szCs w:val="22"/>
        </w:rPr>
      </w:pPr>
      <w:r w:rsidRPr="00A85FEA">
        <w:rPr>
          <w:rFonts w:cs="Arial"/>
          <w:szCs w:val="22"/>
        </w:rPr>
        <w:t xml:space="preserve">Tesorería. Cálculo del costo amortizado de las inversiones de administración de liquidez, en forma manual de Tesorería </w:t>
      </w:r>
    </w:p>
    <w:p w14:paraId="50A48CB0" w14:textId="77777777" w:rsidR="00F53AB1" w:rsidRPr="00A85FEA" w:rsidRDefault="00F53AB1" w:rsidP="00FE2266">
      <w:pPr>
        <w:jc w:val="both"/>
        <w:rPr>
          <w:rFonts w:cs="Arial"/>
          <w:szCs w:val="22"/>
        </w:rPr>
      </w:pPr>
    </w:p>
    <w:p w14:paraId="53B62DC1" w14:textId="77777777" w:rsidR="00F53AB1" w:rsidRPr="00A85FEA" w:rsidRDefault="00F53AB1" w:rsidP="00FE2266">
      <w:pPr>
        <w:jc w:val="both"/>
        <w:rPr>
          <w:rFonts w:cs="Arial"/>
          <w:szCs w:val="22"/>
        </w:rPr>
      </w:pPr>
      <w:r w:rsidRPr="00A85FEA">
        <w:rPr>
          <w:rFonts w:cs="Arial"/>
          <w:szCs w:val="22"/>
        </w:rPr>
        <w:t>Además del flujo de información de los anteriores ítem</w:t>
      </w:r>
      <w:r w:rsidR="003A339B" w:rsidRPr="00A85FEA">
        <w:rPr>
          <w:rFonts w:cs="Arial"/>
          <w:szCs w:val="22"/>
        </w:rPr>
        <w:t>s</w:t>
      </w:r>
      <w:r w:rsidRPr="00A85FEA">
        <w:rPr>
          <w:rFonts w:cs="Arial"/>
          <w:szCs w:val="22"/>
        </w:rPr>
        <w:t xml:space="preserve"> en la periodicidad mensual, las siguientes áreas reportaran la siguiente información a contabilidad para la elaboración de los informes contables mensuales.</w:t>
      </w:r>
    </w:p>
    <w:p w14:paraId="0F061B95" w14:textId="77777777" w:rsidR="00F53AB1" w:rsidRPr="00A85FEA" w:rsidRDefault="00F53AB1" w:rsidP="00D87929">
      <w:pPr>
        <w:rPr>
          <w:rFonts w:cs="Arial"/>
          <w:szCs w:val="22"/>
        </w:rPr>
      </w:pPr>
    </w:p>
    <w:p w14:paraId="785CEE21" w14:textId="77777777" w:rsidR="00F53AB1" w:rsidRPr="00A85FEA" w:rsidRDefault="00F53AB1" w:rsidP="00D87929">
      <w:pPr>
        <w:rPr>
          <w:rFonts w:cs="Arial"/>
          <w:szCs w:val="22"/>
        </w:rPr>
      </w:pPr>
      <w:r w:rsidRPr="00A85FEA">
        <w:rPr>
          <w:rFonts w:cs="Arial"/>
          <w:szCs w:val="22"/>
        </w:rPr>
        <w:t>6.2.1. Tesorería</w:t>
      </w:r>
    </w:p>
    <w:p w14:paraId="20286160" w14:textId="77777777" w:rsidR="00F53AB1" w:rsidRPr="00A85FEA" w:rsidRDefault="00F53AB1" w:rsidP="00D87929">
      <w:pPr>
        <w:rPr>
          <w:rFonts w:cs="Arial"/>
          <w:szCs w:val="22"/>
        </w:rPr>
      </w:pPr>
    </w:p>
    <w:p w14:paraId="482C5D3E" w14:textId="77777777" w:rsidR="00F53AB1" w:rsidRPr="00A85FEA" w:rsidRDefault="00F53AB1" w:rsidP="00FE2266">
      <w:pPr>
        <w:jc w:val="both"/>
        <w:rPr>
          <w:rFonts w:cs="Arial"/>
          <w:szCs w:val="22"/>
        </w:rPr>
      </w:pPr>
      <w:r w:rsidRPr="00A85FEA">
        <w:rPr>
          <w:rFonts w:cs="Arial"/>
          <w:szCs w:val="22"/>
        </w:rPr>
        <w:t>Las revelaciones sobre el efectivo y los equivalentes al efectivo</w:t>
      </w:r>
    </w:p>
    <w:p w14:paraId="6901E44B" w14:textId="77777777" w:rsidR="00F53AB1" w:rsidRPr="00A85FEA" w:rsidRDefault="00F53AB1" w:rsidP="00FE2266">
      <w:pPr>
        <w:jc w:val="both"/>
        <w:rPr>
          <w:rFonts w:cs="Arial"/>
          <w:szCs w:val="22"/>
        </w:rPr>
      </w:pPr>
      <w:r w:rsidRPr="00A85FEA">
        <w:rPr>
          <w:rFonts w:cs="Arial"/>
          <w:szCs w:val="22"/>
        </w:rPr>
        <w:t>Las revelaciones sobre las inversiones de administración de liquidez</w:t>
      </w:r>
    </w:p>
    <w:p w14:paraId="08A00A1C" w14:textId="77777777" w:rsidR="00F53AB1" w:rsidRPr="00A85FEA" w:rsidRDefault="00F53AB1" w:rsidP="00FE2266">
      <w:pPr>
        <w:jc w:val="both"/>
        <w:rPr>
          <w:rFonts w:cs="Arial"/>
          <w:szCs w:val="22"/>
        </w:rPr>
      </w:pPr>
    </w:p>
    <w:p w14:paraId="7EB0871F" w14:textId="77777777" w:rsidR="00F53AB1" w:rsidRPr="00A85FEA" w:rsidRDefault="00F53AB1" w:rsidP="00D87929">
      <w:pPr>
        <w:rPr>
          <w:rFonts w:cs="Arial"/>
          <w:szCs w:val="22"/>
        </w:rPr>
      </w:pPr>
      <w:r w:rsidRPr="00A85FEA">
        <w:rPr>
          <w:rFonts w:cs="Arial"/>
          <w:szCs w:val="22"/>
        </w:rPr>
        <w:t>6.2.2. Almacén</w:t>
      </w:r>
    </w:p>
    <w:p w14:paraId="553C9DE1" w14:textId="77777777" w:rsidR="00F53AB1" w:rsidRPr="00A85FEA" w:rsidRDefault="00F53AB1" w:rsidP="00D87929">
      <w:pPr>
        <w:rPr>
          <w:rFonts w:cs="Arial"/>
          <w:szCs w:val="22"/>
        </w:rPr>
      </w:pPr>
    </w:p>
    <w:p w14:paraId="1181B70E" w14:textId="77777777" w:rsidR="00F53AB1" w:rsidRPr="00A85FEA" w:rsidRDefault="00F53AB1" w:rsidP="00D87929">
      <w:pPr>
        <w:rPr>
          <w:rFonts w:cs="Arial"/>
          <w:szCs w:val="22"/>
        </w:rPr>
      </w:pPr>
      <w:r w:rsidRPr="00A85FEA">
        <w:rPr>
          <w:rFonts w:cs="Arial"/>
          <w:szCs w:val="22"/>
        </w:rPr>
        <w:t>Las revelaciones sobre las propiedades, planta y equipo</w:t>
      </w:r>
    </w:p>
    <w:p w14:paraId="3858404B" w14:textId="77777777" w:rsidR="00F53AB1" w:rsidRPr="00A85FEA" w:rsidRDefault="00F53AB1" w:rsidP="00D87929">
      <w:pPr>
        <w:rPr>
          <w:rFonts w:cs="Arial"/>
          <w:szCs w:val="22"/>
        </w:rPr>
      </w:pPr>
      <w:r w:rsidRPr="00A85FEA">
        <w:rPr>
          <w:rFonts w:cs="Arial"/>
          <w:szCs w:val="22"/>
        </w:rPr>
        <w:t>Las revelaciones sobre los inventarios de suministros</w:t>
      </w:r>
    </w:p>
    <w:p w14:paraId="2CA75D88" w14:textId="77777777" w:rsidR="00F53AB1" w:rsidRPr="00A85FEA" w:rsidRDefault="00F53AB1" w:rsidP="00D87929">
      <w:pPr>
        <w:rPr>
          <w:rFonts w:cs="Arial"/>
          <w:szCs w:val="22"/>
        </w:rPr>
      </w:pPr>
    </w:p>
    <w:p w14:paraId="2BBBED8B" w14:textId="77777777" w:rsidR="00F53AB1" w:rsidRPr="00A85FEA" w:rsidRDefault="00F53AB1" w:rsidP="00D87929">
      <w:pPr>
        <w:rPr>
          <w:rFonts w:cs="Arial"/>
          <w:szCs w:val="22"/>
        </w:rPr>
      </w:pPr>
      <w:r w:rsidRPr="00A85FEA">
        <w:rPr>
          <w:rFonts w:cs="Arial"/>
          <w:szCs w:val="22"/>
        </w:rPr>
        <w:t>6.2.3. Talento humano</w:t>
      </w:r>
    </w:p>
    <w:p w14:paraId="6394BDBE" w14:textId="77777777" w:rsidR="00F53AB1" w:rsidRPr="00A85FEA" w:rsidRDefault="00F53AB1" w:rsidP="00D87929">
      <w:pPr>
        <w:rPr>
          <w:rFonts w:cs="Arial"/>
          <w:szCs w:val="22"/>
        </w:rPr>
      </w:pPr>
    </w:p>
    <w:p w14:paraId="5C401077" w14:textId="77777777" w:rsidR="00F53AB1" w:rsidRPr="00A85FEA" w:rsidRDefault="00F53AB1" w:rsidP="00D87929">
      <w:pPr>
        <w:rPr>
          <w:rFonts w:cs="Arial"/>
          <w:szCs w:val="22"/>
        </w:rPr>
      </w:pPr>
      <w:r w:rsidRPr="00A85FEA">
        <w:rPr>
          <w:rFonts w:cs="Arial"/>
          <w:szCs w:val="22"/>
        </w:rPr>
        <w:t>Las revelaciones sobre los beneficios a los empleados a corto plazo</w:t>
      </w:r>
    </w:p>
    <w:p w14:paraId="20C49B65" w14:textId="77777777" w:rsidR="00F53AB1" w:rsidRPr="00A85FEA" w:rsidRDefault="00F53AB1" w:rsidP="00D87929">
      <w:pPr>
        <w:rPr>
          <w:rFonts w:cs="Arial"/>
          <w:szCs w:val="22"/>
        </w:rPr>
      </w:pPr>
    </w:p>
    <w:p w14:paraId="318A3654" w14:textId="77777777" w:rsidR="00F53AB1" w:rsidRPr="00A85FEA" w:rsidRDefault="00F53AB1" w:rsidP="00D87929">
      <w:pPr>
        <w:rPr>
          <w:rFonts w:cs="Arial"/>
          <w:szCs w:val="22"/>
        </w:rPr>
      </w:pPr>
      <w:r w:rsidRPr="00A85FEA">
        <w:rPr>
          <w:rFonts w:cs="Arial"/>
          <w:szCs w:val="22"/>
        </w:rPr>
        <w:t>6.2.4. Secretaria general</w:t>
      </w:r>
    </w:p>
    <w:p w14:paraId="1E52F6AE" w14:textId="77777777" w:rsidR="00F53AB1" w:rsidRPr="00A85FEA" w:rsidRDefault="00F53AB1" w:rsidP="00D87929">
      <w:pPr>
        <w:rPr>
          <w:rFonts w:cs="Arial"/>
          <w:szCs w:val="22"/>
        </w:rPr>
      </w:pPr>
    </w:p>
    <w:p w14:paraId="6FCE3398" w14:textId="77777777" w:rsidR="00F53AB1" w:rsidRPr="00A85FEA" w:rsidRDefault="00F53AB1" w:rsidP="00D87929">
      <w:pPr>
        <w:rPr>
          <w:rFonts w:cs="Arial"/>
          <w:szCs w:val="22"/>
        </w:rPr>
      </w:pPr>
      <w:r w:rsidRPr="00A85FEA">
        <w:rPr>
          <w:rFonts w:cs="Arial"/>
          <w:szCs w:val="22"/>
        </w:rPr>
        <w:t>Las revelaciones sobre cuentas por cobrar</w:t>
      </w:r>
    </w:p>
    <w:p w14:paraId="549E4BDF" w14:textId="77777777" w:rsidR="00F53AB1" w:rsidRPr="00A85FEA" w:rsidRDefault="00F53AB1" w:rsidP="00D87929">
      <w:pPr>
        <w:rPr>
          <w:rFonts w:cs="Arial"/>
          <w:szCs w:val="22"/>
        </w:rPr>
      </w:pPr>
    </w:p>
    <w:p w14:paraId="57D19B61" w14:textId="77777777" w:rsidR="00F53AB1" w:rsidRPr="00A85FEA" w:rsidRDefault="00F53AB1" w:rsidP="00D87929">
      <w:pPr>
        <w:rPr>
          <w:rFonts w:cs="Arial"/>
          <w:szCs w:val="22"/>
        </w:rPr>
      </w:pPr>
      <w:r w:rsidRPr="00A85FEA">
        <w:rPr>
          <w:rFonts w:cs="Arial"/>
          <w:szCs w:val="22"/>
        </w:rPr>
        <w:t>6.2.5. Presupuesto</w:t>
      </w:r>
    </w:p>
    <w:p w14:paraId="1F42AB43" w14:textId="77777777" w:rsidR="00F53AB1" w:rsidRPr="00A85FEA" w:rsidRDefault="00F53AB1" w:rsidP="00D87929">
      <w:pPr>
        <w:rPr>
          <w:rFonts w:cs="Arial"/>
          <w:szCs w:val="22"/>
        </w:rPr>
      </w:pPr>
    </w:p>
    <w:p w14:paraId="5BB0E6B4" w14:textId="77777777" w:rsidR="00F53AB1" w:rsidRPr="00A85FEA" w:rsidRDefault="00F53AB1" w:rsidP="00D87929">
      <w:pPr>
        <w:rPr>
          <w:rFonts w:cs="Arial"/>
          <w:szCs w:val="22"/>
        </w:rPr>
      </w:pPr>
      <w:r w:rsidRPr="00A85FEA">
        <w:rPr>
          <w:rFonts w:cs="Arial"/>
          <w:szCs w:val="22"/>
        </w:rPr>
        <w:t>Las revelaciones sobre las cuentas por pagar</w:t>
      </w:r>
    </w:p>
    <w:p w14:paraId="2C8F7E87" w14:textId="77777777" w:rsidR="00F53AB1" w:rsidRPr="00FE2266" w:rsidRDefault="00F53AB1" w:rsidP="00FE2266">
      <w:pPr>
        <w:pStyle w:val="Ttulo1"/>
        <w:rPr>
          <w:rStyle w:val="Ttulodellibro"/>
          <w:rFonts w:ascii="Arial" w:hAnsi="Arial" w:cs="Arial"/>
          <w:b/>
          <w:bCs/>
          <w:smallCaps w:val="0"/>
          <w:color w:val="auto"/>
          <w:spacing w:val="0"/>
          <w:sz w:val="22"/>
          <w:szCs w:val="22"/>
        </w:rPr>
      </w:pPr>
      <w:bookmarkStart w:id="16" w:name="_Toc525721316"/>
      <w:r w:rsidRPr="00FE2266">
        <w:rPr>
          <w:rStyle w:val="Ttulodellibro"/>
          <w:rFonts w:ascii="Arial" w:hAnsi="Arial" w:cs="Arial"/>
          <w:b/>
          <w:bCs/>
          <w:smallCaps w:val="0"/>
          <w:color w:val="auto"/>
          <w:spacing w:val="0"/>
          <w:sz w:val="22"/>
          <w:szCs w:val="22"/>
        </w:rPr>
        <w:t>6.3. Trimestral</w:t>
      </w:r>
      <w:bookmarkEnd w:id="16"/>
    </w:p>
    <w:p w14:paraId="17F5D38B" w14:textId="77777777" w:rsidR="00F53AB1" w:rsidRPr="00A85FEA" w:rsidRDefault="00F53AB1" w:rsidP="00D87929">
      <w:pPr>
        <w:rPr>
          <w:rFonts w:cs="Arial"/>
          <w:szCs w:val="22"/>
        </w:rPr>
      </w:pPr>
    </w:p>
    <w:p w14:paraId="4CC12E72" w14:textId="77777777" w:rsidR="00F53AB1" w:rsidRPr="00A85FEA" w:rsidRDefault="00F53AB1" w:rsidP="00D87929">
      <w:pPr>
        <w:rPr>
          <w:rFonts w:cs="Arial"/>
          <w:szCs w:val="22"/>
        </w:rPr>
      </w:pPr>
      <w:r w:rsidRPr="00A85FEA">
        <w:rPr>
          <w:rFonts w:cs="Arial"/>
          <w:szCs w:val="22"/>
        </w:rPr>
        <w:t>6.3.1. Secretaria general</w:t>
      </w:r>
    </w:p>
    <w:p w14:paraId="2A1FB909" w14:textId="77777777" w:rsidR="00F53AB1" w:rsidRPr="00A85FEA" w:rsidRDefault="00F53AB1" w:rsidP="00D87929">
      <w:pPr>
        <w:rPr>
          <w:rFonts w:cs="Arial"/>
          <w:szCs w:val="22"/>
        </w:rPr>
      </w:pPr>
    </w:p>
    <w:p w14:paraId="1E0A5E25" w14:textId="77777777" w:rsidR="00F53AB1" w:rsidRPr="00A85FEA" w:rsidRDefault="00F53AB1" w:rsidP="00D87929">
      <w:pPr>
        <w:rPr>
          <w:rFonts w:cs="Arial"/>
          <w:szCs w:val="22"/>
        </w:rPr>
      </w:pPr>
      <w:r w:rsidRPr="00A85FEA">
        <w:rPr>
          <w:rFonts w:cs="Arial"/>
          <w:szCs w:val="22"/>
        </w:rPr>
        <w:t>Las revelaciones sobre provisiones de demandas y litigios en contra y a favor de la entidad</w:t>
      </w:r>
    </w:p>
    <w:p w14:paraId="0ECA7D0C" w14:textId="77777777" w:rsidR="00F53AB1" w:rsidRPr="00FE2266" w:rsidRDefault="00F53AB1" w:rsidP="00FE2266">
      <w:pPr>
        <w:pStyle w:val="Ttulo1"/>
        <w:rPr>
          <w:rStyle w:val="Ttulodellibro"/>
          <w:rFonts w:ascii="Arial" w:hAnsi="Arial" w:cs="Arial"/>
          <w:b/>
          <w:bCs/>
          <w:smallCaps w:val="0"/>
          <w:color w:val="auto"/>
          <w:spacing w:val="0"/>
          <w:sz w:val="22"/>
          <w:szCs w:val="22"/>
        </w:rPr>
      </w:pPr>
      <w:bookmarkStart w:id="17" w:name="_Toc525721317"/>
      <w:r w:rsidRPr="00FE2266">
        <w:rPr>
          <w:rStyle w:val="Ttulodellibro"/>
          <w:rFonts w:ascii="Arial" w:hAnsi="Arial" w:cs="Arial"/>
          <w:b/>
          <w:bCs/>
          <w:smallCaps w:val="0"/>
          <w:color w:val="auto"/>
          <w:spacing w:val="0"/>
          <w:sz w:val="22"/>
          <w:szCs w:val="22"/>
        </w:rPr>
        <w:t>6.4. Anual</w:t>
      </w:r>
      <w:bookmarkEnd w:id="17"/>
    </w:p>
    <w:p w14:paraId="092BF367" w14:textId="77777777" w:rsidR="00F53AB1" w:rsidRPr="00A85FEA" w:rsidRDefault="00F53AB1" w:rsidP="00D87929">
      <w:pPr>
        <w:rPr>
          <w:rFonts w:cs="Arial"/>
          <w:szCs w:val="22"/>
        </w:rPr>
      </w:pPr>
    </w:p>
    <w:p w14:paraId="7625792D" w14:textId="77777777" w:rsidR="00F53AB1" w:rsidRPr="00A85FEA" w:rsidRDefault="00F53AB1" w:rsidP="00D87929">
      <w:pPr>
        <w:rPr>
          <w:rFonts w:cs="Arial"/>
          <w:szCs w:val="22"/>
        </w:rPr>
      </w:pPr>
      <w:r w:rsidRPr="00A85FEA">
        <w:rPr>
          <w:rFonts w:cs="Arial"/>
          <w:szCs w:val="22"/>
        </w:rPr>
        <w:t>Contabilidad recibe las revelaciones de cada norma y de las siguientes dependencias:</w:t>
      </w:r>
    </w:p>
    <w:p w14:paraId="16A6AD7C" w14:textId="77777777" w:rsidR="00F53AB1" w:rsidRPr="00A85FEA" w:rsidRDefault="00F53AB1" w:rsidP="00D87929">
      <w:pPr>
        <w:rPr>
          <w:rFonts w:cs="Arial"/>
          <w:szCs w:val="22"/>
        </w:rPr>
      </w:pPr>
    </w:p>
    <w:p w14:paraId="135A2486" w14:textId="77777777" w:rsidR="00F53AB1" w:rsidRPr="00A85FEA" w:rsidRDefault="00F53AB1" w:rsidP="00D87929">
      <w:pPr>
        <w:rPr>
          <w:rFonts w:cs="Arial"/>
          <w:szCs w:val="22"/>
        </w:rPr>
      </w:pPr>
      <w:r w:rsidRPr="00A85FEA">
        <w:rPr>
          <w:rFonts w:cs="Arial"/>
          <w:szCs w:val="22"/>
        </w:rPr>
        <w:t>6.4.1. Tesorería</w:t>
      </w:r>
    </w:p>
    <w:p w14:paraId="0437DE2F" w14:textId="77777777" w:rsidR="00F53AB1" w:rsidRPr="00A85FEA" w:rsidRDefault="00F53AB1" w:rsidP="00D87929">
      <w:pPr>
        <w:rPr>
          <w:rFonts w:cs="Arial"/>
          <w:szCs w:val="22"/>
        </w:rPr>
      </w:pPr>
    </w:p>
    <w:p w14:paraId="6E5358B5" w14:textId="77777777" w:rsidR="00F53AB1" w:rsidRPr="00A85FEA" w:rsidRDefault="00F53AB1" w:rsidP="00D87929">
      <w:pPr>
        <w:rPr>
          <w:rFonts w:cs="Arial"/>
          <w:szCs w:val="22"/>
        </w:rPr>
      </w:pPr>
      <w:r w:rsidRPr="00A85FEA">
        <w:rPr>
          <w:rFonts w:cs="Arial"/>
          <w:szCs w:val="22"/>
        </w:rPr>
        <w:t>Las revelaciones sobre el efectivo y los equivalentes al efectivo</w:t>
      </w:r>
    </w:p>
    <w:p w14:paraId="0E7F1B55" w14:textId="77777777" w:rsidR="00F53AB1" w:rsidRPr="00A85FEA" w:rsidRDefault="00F53AB1" w:rsidP="00D87929">
      <w:pPr>
        <w:rPr>
          <w:rFonts w:cs="Arial"/>
          <w:szCs w:val="22"/>
        </w:rPr>
      </w:pPr>
      <w:r w:rsidRPr="00A85FEA">
        <w:rPr>
          <w:rFonts w:cs="Arial"/>
          <w:szCs w:val="22"/>
        </w:rPr>
        <w:t>Las revelaciones sobre las inversiones de administración de liquidez</w:t>
      </w:r>
    </w:p>
    <w:p w14:paraId="3D483DDB" w14:textId="77777777" w:rsidR="00F53AB1" w:rsidRPr="00A85FEA" w:rsidRDefault="00F53AB1" w:rsidP="00D87929">
      <w:pPr>
        <w:rPr>
          <w:rFonts w:cs="Arial"/>
          <w:szCs w:val="22"/>
        </w:rPr>
      </w:pPr>
    </w:p>
    <w:p w14:paraId="1779DA52" w14:textId="77777777" w:rsidR="00F53AB1" w:rsidRPr="00A85FEA" w:rsidRDefault="00F53AB1" w:rsidP="00D87929">
      <w:pPr>
        <w:rPr>
          <w:rFonts w:cs="Arial"/>
          <w:szCs w:val="22"/>
        </w:rPr>
      </w:pPr>
      <w:r w:rsidRPr="00A85FEA">
        <w:rPr>
          <w:rFonts w:cs="Arial"/>
          <w:szCs w:val="22"/>
        </w:rPr>
        <w:t>6.4.2. Almacén</w:t>
      </w:r>
    </w:p>
    <w:p w14:paraId="38B93483" w14:textId="77777777" w:rsidR="00F53AB1" w:rsidRPr="00A85FEA" w:rsidRDefault="00F53AB1" w:rsidP="00D87929">
      <w:pPr>
        <w:rPr>
          <w:rFonts w:cs="Arial"/>
          <w:szCs w:val="22"/>
        </w:rPr>
      </w:pPr>
    </w:p>
    <w:p w14:paraId="34204C53" w14:textId="77777777" w:rsidR="00F53AB1" w:rsidRPr="00A85FEA" w:rsidRDefault="00F53AB1" w:rsidP="00D87929">
      <w:pPr>
        <w:rPr>
          <w:rFonts w:cs="Arial"/>
          <w:szCs w:val="22"/>
        </w:rPr>
      </w:pPr>
      <w:r w:rsidRPr="00A85FEA">
        <w:rPr>
          <w:rFonts w:cs="Arial"/>
          <w:szCs w:val="22"/>
        </w:rPr>
        <w:t>Las revelaciones sobre las propiedades, planta y equipo</w:t>
      </w:r>
    </w:p>
    <w:p w14:paraId="561CD19C" w14:textId="77777777" w:rsidR="00F53AB1" w:rsidRPr="00A85FEA" w:rsidRDefault="00F53AB1" w:rsidP="00D87929">
      <w:pPr>
        <w:rPr>
          <w:rFonts w:cs="Arial"/>
          <w:szCs w:val="22"/>
        </w:rPr>
      </w:pPr>
      <w:r w:rsidRPr="00A85FEA">
        <w:rPr>
          <w:rFonts w:cs="Arial"/>
          <w:szCs w:val="22"/>
        </w:rPr>
        <w:t>Las revelaciones sobre los inventarios de suministros</w:t>
      </w:r>
    </w:p>
    <w:p w14:paraId="2AA23620" w14:textId="77777777" w:rsidR="00F53AB1" w:rsidRPr="00A85FEA" w:rsidRDefault="00F53AB1" w:rsidP="00D87929">
      <w:pPr>
        <w:rPr>
          <w:rFonts w:cs="Arial"/>
          <w:szCs w:val="22"/>
        </w:rPr>
      </w:pPr>
    </w:p>
    <w:p w14:paraId="2C03250B" w14:textId="77777777" w:rsidR="00F53AB1" w:rsidRPr="00A85FEA" w:rsidRDefault="00F53AB1" w:rsidP="00D87929">
      <w:pPr>
        <w:rPr>
          <w:rFonts w:cs="Arial"/>
          <w:szCs w:val="22"/>
        </w:rPr>
      </w:pPr>
      <w:r w:rsidRPr="00A85FEA">
        <w:rPr>
          <w:rFonts w:cs="Arial"/>
          <w:szCs w:val="22"/>
        </w:rPr>
        <w:t>6.4.3. Talento humano</w:t>
      </w:r>
    </w:p>
    <w:p w14:paraId="0FB0F269" w14:textId="77777777" w:rsidR="00F53AB1" w:rsidRPr="00A85FEA" w:rsidRDefault="00F53AB1" w:rsidP="00D87929">
      <w:pPr>
        <w:rPr>
          <w:rFonts w:cs="Arial"/>
          <w:szCs w:val="22"/>
        </w:rPr>
      </w:pPr>
    </w:p>
    <w:p w14:paraId="125070B4" w14:textId="77777777" w:rsidR="00F53AB1" w:rsidRPr="00A85FEA" w:rsidRDefault="00F53AB1" w:rsidP="00D87929">
      <w:pPr>
        <w:rPr>
          <w:rFonts w:cs="Arial"/>
          <w:szCs w:val="22"/>
        </w:rPr>
      </w:pPr>
      <w:r w:rsidRPr="00A85FEA">
        <w:rPr>
          <w:rFonts w:cs="Arial"/>
          <w:szCs w:val="22"/>
        </w:rPr>
        <w:t>Las revelaciones sobre los beneficios a los empleados a corto plazo</w:t>
      </w:r>
    </w:p>
    <w:p w14:paraId="3300529A" w14:textId="77777777" w:rsidR="00F53AB1" w:rsidRPr="00A85FEA" w:rsidRDefault="00F53AB1" w:rsidP="00D87929">
      <w:pPr>
        <w:rPr>
          <w:rFonts w:cs="Arial"/>
          <w:szCs w:val="22"/>
        </w:rPr>
      </w:pPr>
    </w:p>
    <w:p w14:paraId="2E6DB40A" w14:textId="77777777" w:rsidR="00F53AB1" w:rsidRPr="00A85FEA" w:rsidRDefault="00F53AB1" w:rsidP="00D87929">
      <w:pPr>
        <w:rPr>
          <w:rFonts w:cs="Arial"/>
          <w:szCs w:val="22"/>
        </w:rPr>
      </w:pPr>
      <w:r w:rsidRPr="00A85FEA">
        <w:rPr>
          <w:rFonts w:cs="Arial"/>
          <w:szCs w:val="22"/>
        </w:rPr>
        <w:t>6.4.4. Secretaria general</w:t>
      </w:r>
    </w:p>
    <w:p w14:paraId="41A0B228" w14:textId="77777777" w:rsidR="00F53AB1" w:rsidRPr="00A85FEA" w:rsidRDefault="00F53AB1" w:rsidP="00D87929">
      <w:pPr>
        <w:rPr>
          <w:rFonts w:cs="Arial"/>
          <w:szCs w:val="22"/>
        </w:rPr>
      </w:pPr>
    </w:p>
    <w:p w14:paraId="4CDF9028" w14:textId="77777777" w:rsidR="00F53AB1" w:rsidRPr="00A85FEA" w:rsidRDefault="00F53AB1" w:rsidP="00D87929">
      <w:pPr>
        <w:rPr>
          <w:rFonts w:cs="Arial"/>
          <w:szCs w:val="22"/>
        </w:rPr>
      </w:pPr>
      <w:r w:rsidRPr="00A85FEA">
        <w:rPr>
          <w:rFonts w:cs="Arial"/>
          <w:szCs w:val="22"/>
        </w:rPr>
        <w:t>Las revelaciones sobre provisiones de demandas y litigios en contra y a favor de la entidad</w:t>
      </w:r>
    </w:p>
    <w:p w14:paraId="37AA3063" w14:textId="77777777" w:rsidR="00F53AB1" w:rsidRPr="00A85FEA" w:rsidRDefault="00F53AB1" w:rsidP="00D87929">
      <w:pPr>
        <w:rPr>
          <w:rFonts w:cs="Arial"/>
          <w:szCs w:val="22"/>
        </w:rPr>
      </w:pPr>
      <w:r w:rsidRPr="00A85FEA">
        <w:rPr>
          <w:rFonts w:cs="Arial"/>
          <w:szCs w:val="22"/>
        </w:rPr>
        <w:t>Las revelaciones sobre cuentas por cobrar</w:t>
      </w:r>
    </w:p>
    <w:p w14:paraId="170F2859" w14:textId="77777777" w:rsidR="00F53AB1" w:rsidRPr="00A85FEA" w:rsidRDefault="00F53AB1" w:rsidP="00D87929">
      <w:pPr>
        <w:rPr>
          <w:rFonts w:cs="Arial"/>
          <w:szCs w:val="22"/>
        </w:rPr>
      </w:pPr>
    </w:p>
    <w:p w14:paraId="3B8BA4C4" w14:textId="77777777" w:rsidR="00F53AB1" w:rsidRPr="00A85FEA" w:rsidRDefault="00F53AB1" w:rsidP="00D87929">
      <w:pPr>
        <w:rPr>
          <w:rFonts w:cs="Arial"/>
          <w:szCs w:val="22"/>
        </w:rPr>
      </w:pPr>
      <w:r w:rsidRPr="00A85FEA">
        <w:rPr>
          <w:rFonts w:cs="Arial"/>
          <w:szCs w:val="22"/>
        </w:rPr>
        <w:t>6.4.5. Presupuesto</w:t>
      </w:r>
    </w:p>
    <w:p w14:paraId="773CC326" w14:textId="77777777" w:rsidR="00F53AB1" w:rsidRPr="00A85FEA" w:rsidRDefault="00F53AB1" w:rsidP="00D87929">
      <w:pPr>
        <w:rPr>
          <w:rFonts w:cs="Arial"/>
          <w:szCs w:val="22"/>
        </w:rPr>
      </w:pPr>
    </w:p>
    <w:p w14:paraId="711781BC" w14:textId="77777777" w:rsidR="00F53AB1" w:rsidRPr="00A85FEA" w:rsidRDefault="00F53AB1" w:rsidP="00D87929">
      <w:pPr>
        <w:rPr>
          <w:rFonts w:cs="Arial"/>
          <w:szCs w:val="22"/>
        </w:rPr>
      </w:pPr>
      <w:r w:rsidRPr="00A85FEA">
        <w:rPr>
          <w:rFonts w:cs="Arial"/>
          <w:szCs w:val="22"/>
        </w:rPr>
        <w:t>Las revelaciones sobre las cuentas por pagar</w:t>
      </w:r>
    </w:p>
    <w:p w14:paraId="2DD91018" w14:textId="77777777" w:rsidR="00F53AB1" w:rsidRPr="00465E99" w:rsidRDefault="00F53AB1" w:rsidP="00465E99">
      <w:pPr>
        <w:pStyle w:val="Ttulo1"/>
        <w:rPr>
          <w:rStyle w:val="Ttulodellibro"/>
          <w:rFonts w:ascii="Arial" w:hAnsi="Arial" w:cs="Arial"/>
          <w:b/>
          <w:bCs/>
          <w:smallCaps w:val="0"/>
          <w:color w:val="auto"/>
          <w:spacing w:val="0"/>
          <w:sz w:val="22"/>
          <w:szCs w:val="22"/>
        </w:rPr>
      </w:pPr>
      <w:bookmarkStart w:id="18" w:name="_Toc525721318"/>
      <w:r w:rsidRPr="00465E99">
        <w:rPr>
          <w:rStyle w:val="Ttulodellibro"/>
          <w:rFonts w:ascii="Arial" w:hAnsi="Arial" w:cs="Arial"/>
          <w:b/>
          <w:bCs/>
          <w:smallCaps w:val="0"/>
          <w:color w:val="auto"/>
          <w:spacing w:val="0"/>
          <w:sz w:val="22"/>
          <w:szCs w:val="22"/>
        </w:rPr>
        <w:t>7. CONCILIACIÓN DE INFORMACIÓN</w:t>
      </w:r>
      <w:bookmarkEnd w:id="18"/>
    </w:p>
    <w:p w14:paraId="7B4B39DD" w14:textId="77777777" w:rsidR="00F53AB1" w:rsidRPr="00A85FEA" w:rsidRDefault="00F53AB1" w:rsidP="00D87929">
      <w:pPr>
        <w:rPr>
          <w:rFonts w:cs="Arial"/>
          <w:szCs w:val="22"/>
        </w:rPr>
      </w:pPr>
    </w:p>
    <w:p w14:paraId="0FF7C8A0" w14:textId="77777777" w:rsidR="00F53AB1" w:rsidRPr="00A85FEA" w:rsidRDefault="00F53AB1" w:rsidP="00465E99">
      <w:pPr>
        <w:jc w:val="both"/>
        <w:rPr>
          <w:rFonts w:cs="Arial"/>
          <w:szCs w:val="22"/>
        </w:rPr>
      </w:pPr>
      <w:r w:rsidRPr="00A85FEA">
        <w:rPr>
          <w:rFonts w:cs="Arial"/>
          <w:szCs w:val="22"/>
        </w:rPr>
        <w:t>Para garantizar la fiabilidad de la información financiera antes de realizar mensualmente el proceso de cierre contable, se conciliará la información suministrada por las diferentes áreas que la proveen a contabilidad, para lograr la integralidad del proceso contable.  La conciliación de la información tiene como objet</w:t>
      </w:r>
      <w:r w:rsidR="00465E99">
        <w:rPr>
          <w:rFonts w:cs="Arial"/>
          <w:szCs w:val="22"/>
        </w:rPr>
        <w:t>ivo advertir oportunamente, las i</w:t>
      </w:r>
      <w:r w:rsidRPr="00A85FEA">
        <w:rPr>
          <w:rFonts w:cs="Arial"/>
          <w:szCs w:val="22"/>
        </w:rPr>
        <w:t>nconsistencias que se presenten, para analizar, verificar y realizar los ajustes a que haya lugar, de acuerdo con las normas contables vigentes.</w:t>
      </w:r>
    </w:p>
    <w:p w14:paraId="2FD866FC" w14:textId="77777777" w:rsidR="00F53AB1" w:rsidRPr="00A85FEA" w:rsidRDefault="00F53AB1" w:rsidP="00D87929">
      <w:pPr>
        <w:pStyle w:val="Ttulo1"/>
        <w:rPr>
          <w:rStyle w:val="Ttulodellibro"/>
          <w:rFonts w:ascii="Arial" w:hAnsi="Arial" w:cs="Arial"/>
          <w:bCs/>
          <w:smallCaps w:val="0"/>
          <w:color w:val="auto"/>
          <w:spacing w:val="0"/>
          <w:sz w:val="22"/>
          <w:szCs w:val="22"/>
        </w:rPr>
      </w:pPr>
      <w:bookmarkStart w:id="19" w:name="_Toc525721319"/>
      <w:r w:rsidRPr="00A85FEA">
        <w:rPr>
          <w:rStyle w:val="Ttulodellibro"/>
          <w:rFonts w:ascii="Arial" w:hAnsi="Arial" w:cs="Arial"/>
          <w:bCs/>
          <w:smallCaps w:val="0"/>
          <w:color w:val="auto"/>
          <w:spacing w:val="0"/>
          <w:sz w:val="22"/>
          <w:szCs w:val="22"/>
        </w:rPr>
        <w:t>7.1. Tesorería</w:t>
      </w:r>
      <w:bookmarkEnd w:id="19"/>
    </w:p>
    <w:p w14:paraId="1BF3A89E" w14:textId="77777777" w:rsidR="00F53AB1" w:rsidRPr="00A85FEA" w:rsidRDefault="00F53AB1" w:rsidP="00D87929">
      <w:pPr>
        <w:rPr>
          <w:rFonts w:cs="Arial"/>
          <w:szCs w:val="22"/>
        </w:rPr>
      </w:pPr>
    </w:p>
    <w:p w14:paraId="6D986B6B" w14:textId="77777777" w:rsidR="00F53AB1" w:rsidRPr="00A85FEA" w:rsidRDefault="00F53AB1" w:rsidP="00D87929">
      <w:pPr>
        <w:rPr>
          <w:rFonts w:cs="Arial"/>
          <w:szCs w:val="22"/>
        </w:rPr>
      </w:pPr>
      <w:r w:rsidRPr="00A85FEA">
        <w:rPr>
          <w:rFonts w:cs="Arial"/>
          <w:szCs w:val="22"/>
        </w:rPr>
        <w:t>Se realizan mensualmente las conciliaciones bancarias (ver procedimiento de conciliaciones bancarias)</w:t>
      </w:r>
    </w:p>
    <w:p w14:paraId="0B5DE6A7" w14:textId="77777777" w:rsidR="00F53AB1" w:rsidRPr="00A85FEA" w:rsidRDefault="00F53AB1" w:rsidP="00D87929">
      <w:pPr>
        <w:rPr>
          <w:rFonts w:cs="Arial"/>
          <w:szCs w:val="22"/>
        </w:rPr>
      </w:pPr>
      <w:r w:rsidRPr="00A85FEA">
        <w:rPr>
          <w:rFonts w:cs="Arial"/>
          <w:szCs w:val="22"/>
        </w:rPr>
        <w:t xml:space="preserve">Conciliación de ejecución de ingresos con las áreas Tesorería y de presupuesto y la base de datos SIIF Nación </w:t>
      </w:r>
    </w:p>
    <w:p w14:paraId="2C665508" w14:textId="77777777" w:rsidR="00F53AB1" w:rsidRPr="00A85FEA" w:rsidRDefault="00F53AB1" w:rsidP="00D87929">
      <w:pPr>
        <w:pStyle w:val="Ttulo1"/>
        <w:rPr>
          <w:rFonts w:ascii="Arial" w:hAnsi="Arial" w:cs="Arial"/>
          <w:b w:val="0"/>
          <w:color w:val="auto"/>
          <w:sz w:val="22"/>
          <w:szCs w:val="22"/>
        </w:rPr>
      </w:pPr>
      <w:bookmarkStart w:id="20" w:name="_Toc525721320"/>
      <w:r w:rsidRPr="00A85FEA">
        <w:rPr>
          <w:rFonts w:ascii="Arial" w:hAnsi="Arial" w:cs="Arial"/>
          <w:b w:val="0"/>
          <w:color w:val="auto"/>
          <w:sz w:val="22"/>
          <w:szCs w:val="22"/>
        </w:rPr>
        <w:t>7.2. Almacén</w:t>
      </w:r>
      <w:bookmarkEnd w:id="20"/>
    </w:p>
    <w:p w14:paraId="6CD8EEDE" w14:textId="77777777" w:rsidR="00F53AB1" w:rsidRPr="00A85FEA" w:rsidRDefault="00F53AB1" w:rsidP="00D87929">
      <w:pPr>
        <w:rPr>
          <w:rFonts w:cs="Arial"/>
          <w:szCs w:val="22"/>
        </w:rPr>
      </w:pPr>
    </w:p>
    <w:p w14:paraId="5950A81E" w14:textId="77777777" w:rsidR="00F53AB1" w:rsidRPr="00A85FEA" w:rsidRDefault="00F53AB1" w:rsidP="00D87929">
      <w:pPr>
        <w:rPr>
          <w:rFonts w:cs="Arial"/>
          <w:szCs w:val="22"/>
        </w:rPr>
      </w:pPr>
      <w:r w:rsidRPr="00A85FEA">
        <w:rPr>
          <w:rFonts w:cs="Arial"/>
          <w:szCs w:val="22"/>
        </w:rPr>
        <w:t xml:space="preserve">Conciliación de los saldos en libros frente al saldo de los activos del módulo de Almacén </w:t>
      </w:r>
    </w:p>
    <w:p w14:paraId="064E6F47" w14:textId="77777777" w:rsidR="00F53AB1" w:rsidRPr="00465E99" w:rsidRDefault="00F53AB1" w:rsidP="00D87929">
      <w:pPr>
        <w:pStyle w:val="Ttulo1"/>
        <w:rPr>
          <w:rFonts w:ascii="Arial" w:hAnsi="Arial" w:cs="Arial"/>
          <w:b w:val="0"/>
          <w:color w:val="auto"/>
          <w:sz w:val="22"/>
          <w:szCs w:val="22"/>
        </w:rPr>
      </w:pPr>
      <w:bookmarkStart w:id="21" w:name="_Toc525721321"/>
      <w:r w:rsidRPr="00465E99">
        <w:rPr>
          <w:rFonts w:ascii="Arial" w:hAnsi="Arial" w:cs="Arial"/>
          <w:b w:val="0"/>
          <w:color w:val="auto"/>
          <w:sz w:val="22"/>
          <w:szCs w:val="22"/>
        </w:rPr>
        <w:t>7.3. Secretaria General</w:t>
      </w:r>
      <w:bookmarkEnd w:id="21"/>
    </w:p>
    <w:p w14:paraId="0A0FAB3F" w14:textId="77777777" w:rsidR="00F53AB1" w:rsidRPr="00A85FEA" w:rsidRDefault="00F53AB1" w:rsidP="00D87929">
      <w:pPr>
        <w:rPr>
          <w:rFonts w:cs="Arial"/>
          <w:szCs w:val="22"/>
        </w:rPr>
      </w:pPr>
    </w:p>
    <w:p w14:paraId="1629490F" w14:textId="77777777" w:rsidR="00F53AB1" w:rsidRPr="00A85FEA" w:rsidRDefault="00F53AB1" w:rsidP="00D87929">
      <w:pPr>
        <w:rPr>
          <w:rFonts w:cs="Arial"/>
          <w:szCs w:val="22"/>
        </w:rPr>
      </w:pPr>
      <w:r w:rsidRPr="00A85FEA">
        <w:rPr>
          <w:rFonts w:cs="Arial"/>
          <w:szCs w:val="22"/>
        </w:rPr>
        <w:t>Conciliación mensual de las cuentas por cobrar y por edades para determinar deterioro</w:t>
      </w:r>
    </w:p>
    <w:p w14:paraId="48E48EA1" w14:textId="77777777" w:rsidR="00F53AB1" w:rsidRPr="00A85FEA" w:rsidRDefault="00F53AB1" w:rsidP="00D87929">
      <w:pPr>
        <w:pStyle w:val="Ttulo1"/>
        <w:rPr>
          <w:rFonts w:ascii="Arial" w:hAnsi="Arial" w:cs="Arial"/>
          <w:b w:val="0"/>
          <w:color w:val="auto"/>
          <w:sz w:val="22"/>
          <w:szCs w:val="22"/>
        </w:rPr>
      </w:pPr>
      <w:bookmarkStart w:id="22" w:name="_Toc525721322"/>
      <w:r w:rsidRPr="00A85FEA">
        <w:rPr>
          <w:rFonts w:ascii="Arial" w:hAnsi="Arial" w:cs="Arial"/>
          <w:b w:val="0"/>
          <w:color w:val="auto"/>
          <w:sz w:val="22"/>
          <w:szCs w:val="22"/>
        </w:rPr>
        <w:t>7.4. Registro Único de Infractores Ambientales (RUIA)</w:t>
      </w:r>
      <w:bookmarkEnd w:id="22"/>
    </w:p>
    <w:p w14:paraId="03408996" w14:textId="77777777" w:rsidR="00F53AB1" w:rsidRPr="00A85FEA" w:rsidRDefault="00F53AB1" w:rsidP="00D87929">
      <w:pPr>
        <w:rPr>
          <w:rFonts w:cs="Arial"/>
          <w:szCs w:val="22"/>
        </w:rPr>
      </w:pPr>
    </w:p>
    <w:p w14:paraId="5DEB03D3" w14:textId="77777777" w:rsidR="00F53AB1" w:rsidRPr="00A85FEA" w:rsidRDefault="00F53AB1" w:rsidP="00D87929">
      <w:pPr>
        <w:rPr>
          <w:rFonts w:cs="Arial"/>
          <w:szCs w:val="22"/>
        </w:rPr>
      </w:pPr>
      <w:r w:rsidRPr="00A85FEA">
        <w:rPr>
          <w:rFonts w:cs="Arial"/>
          <w:szCs w:val="22"/>
        </w:rPr>
        <w:t>Concilia las multas registradas en el RUIA que correspondan con las multas registradas contablemente y viceversa.</w:t>
      </w:r>
    </w:p>
    <w:p w14:paraId="1BFEA8AC" w14:textId="77777777" w:rsidR="00F53AB1" w:rsidRPr="00A85FEA" w:rsidRDefault="00F53AB1" w:rsidP="00D87929">
      <w:pPr>
        <w:pStyle w:val="Ttulo1"/>
        <w:rPr>
          <w:rFonts w:ascii="Arial" w:hAnsi="Arial" w:cs="Arial"/>
          <w:color w:val="auto"/>
          <w:sz w:val="22"/>
          <w:szCs w:val="22"/>
        </w:rPr>
      </w:pPr>
      <w:bookmarkStart w:id="23" w:name="_Toc525721323"/>
      <w:r w:rsidRPr="00A85FEA">
        <w:rPr>
          <w:rFonts w:ascii="Arial" w:hAnsi="Arial" w:cs="Arial"/>
          <w:color w:val="auto"/>
          <w:sz w:val="22"/>
          <w:szCs w:val="22"/>
        </w:rPr>
        <w:t>8. EVALUACIÓN DEL PROCESO CONTABLE</w:t>
      </w:r>
      <w:bookmarkEnd w:id="23"/>
    </w:p>
    <w:p w14:paraId="139991FF" w14:textId="77777777" w:rsidR="00F53AB1" w:rsidRPr="00A85FEA" w:rsidRDefault="00F53AB1" w:rsidP="00D87929">
      <w:pPr>
        <w:rPr>
          <w:rFonts w:cs="Arial"/>
          <w:szCs w:val="22"/>
        </w:rPr>
      </w:pPr>
    </w:p>
    <w:p w14:paraId="0582B05E" w14:textId="77777777" w:rsidR="00F53AB1" w:rsidRPr="00A85FEA" w:rsidRDefault="00F53AB1" w:rsidP="00465E99">
      <w:pPr>
        <w:jc w:val="both"/>
        <w:rPr>
          <w:rFonts w:cs="Arial"/>
          <w:szCs w:val="22"/>
        </w:rPr>
      </w:pPr>
      <w:r w:rsidRPr="00A85FEA">
        <w:rPr>
          <w:rFonts w:cs="Arial"/>
          <w:szCs w:val="22"/>
        </w:rPr>
        <w:lastRenderedPageBreak/>
        <w:t xml:space="preserve">La </w:t>
      </w:r>
      <w:r w:rsidRPr="00A85FEA">
        <w:rPr>
          <w:rFonts w:cs="Arial"/>
          <w:bCs/>
          <w:szCs w:val="22"/>
        </w:rPr>
        <w:t>Corporación para el Desarrollo Sostenible del norte y el oriente amazónico – CDA basándose en el procedimiento para la evaluación del control interno contable, Res. 193 de 2016, evaluará</w:t>
      </w:r>
      <w:r w:rsidRPr="00A85FEA">
        <w:rPr>
          <w:rFonts w:cs="Arial"/>
          <w:szCs w:val="22"/>
        </w:rPr>
        <w:t xml:space="preserve"> la ejecución del proceso contable a fin de formular las acciones de mejoramiento pertinentes y verificar su cumplimiento y </w:t>
      </w:r>
      <w:r w:rsidRPr="00A85FEA">
        <w:rPr>
          <w:rFonts w:cs="Arial"/>
          <w:bCs/>
          <w:szCs w:val="22"/>
        </w:rPr>
        <w:t xml:space="preserve">define como política reunión en comité de dirección con los jefes de las áreas descritas en el numeral 6 de este capítulo como flujo de información. Las seccionales de </w:t>
      </w:r>
      <w:r w:rsidRPr="00A85FEA">
        <w:rPr>
          <w:rFonts w:cs="Arial"/>
          <w:szCs w:val="22"/>
        </w:rPr>
        <w:t>Guaviare y Vaupés</w:t>
      </w:r>
      <w:r w:rsidRPr="00A85FEA">
        <w:rPr>
          <w:rFonts w:cs="Arial"/>
          <w:bCs/>
          <w:szCs w:val="22"/>
        </w:rPr>
        <w:t xml:space="preserve"> asistirán a esta reunión por teleconferencia, video conferencia o las herramientas tecnológicas con que cuente </w:t>
      </w:r>
      <w:r w:rsidRPr="00A85FEA">
        <w:rPr>
          <w:rFonts w:cs="Arial"/>
          <w:szCs w:val="22"/>
        </w:rPr>
        <w:t>la Corporación para el Desarrollo Sostenible del Norte y el Oriente Amazónico – CDA.</w:t>
      </w:r>
    </w:p>
    <w:p w14:paraId="01B4B9A1" w14:textId="77777777" w:rsidR="00F53AB1" w:rsidRPr="00A85FEA" w:rsidRDefault="00F53AB1" w:rsidP="00465E99">
      <w:pPr>
        <w:jc w:val="both"/>
        <w:rPr>
          <w:rFonts w:cs="Arial"/>
          <w:szCs w:val="22"/>
        </w:rPr>
      </w:pPr>
      <w:r w:rsidRPr="00A85FEA">
        <w:rPr>
          <w:rFonts w:cs="Arial"/>
          <w:bCs/>
          <w:szCs w:val="22"/>
        </w:rPr>
        <w:t>.</w:t>
      </w:r>
    </w:p>
    <w:p w14:paraId="0D4200CD" w14:textId="77777777" w:rsidR="00F53AB1" w:rsidRPr="00A85FEA" w:rsidRDefault="00F53AB1" w:rsidP="00465E99">
      <w:pPr>
        <w:jc w:val="both"/>
        <w:rPr>
          <w:rFonts w:cs="Arial"/>
          <w:szCs w:val="22"/>
        </w:rPr>
      </w:pPr>
      <w:r w:rsidRPr="00A85FEA">
        <w:rPr>
          <w:rFonts w:cs="Arial"/>
          <w:szCs w:val="22"/>
        </w:rPr>
        <w:t>El funcionario con el cargo de Control Interno evaluará el cumplimiento de los controles contables de cada norma, establecidos en el presente Manual de Políticas contables para garantizar que la operación del proceso contable cumpla las normas definidas y las diferentes disposiciones de orden constitucional, legal y regulatorio que le sean propias y la aplicación del procedimiento y Resolución enunciados en este numeral.</w:t>
      </w:r>
    </w:p>
    <w:p w14:paraId="38256B81" w14:textId="77777777" w:rsidR="00F53AB1" w:rsidRPr="00A85FEA" w:rsidRDefault="00F53AB1" w:rsidP="00465E99">
      <w:pPr>
        <w:jc w:val="both"/>
        <w:rPr>
          <w:rFonts w:cs="Arial"/>
          <w:szCs w:val="22"/>
        </w:rPr>
      </w:pPr>
    </w:p>
    <w:p w14:paraId="0E99F2B9" w14:textId="77777777" w:rsidR="00F53AB1" w:rsidRPr="00A85FEA" w:rsidRDefault="00F53AB1" w:rsidP="00D87929">
      <w:pPr>
        <w:pStyle w:val="Ttulo1"/>
        <w:rPr>
          <w:rFonts w:ascii="Arial" w:hAnsi="Arial" w:cs="Arial"/>
          <w:color w:val="auto"/>
          <w:sz w:val="22"/>
          <w:szCs w:val="22"/>
        </w:rPr>
      </w:pPr>
      <w:bookmarkStart w:id="24" w:name="_Toc525721324"/>
      <w:r w:rsidRPr="00A85FEA">
        <w:rPr>
          <w:rFonts w:ascii="Arial" w:hAnsi="Arial" w:cs="Arial"/>
          <w:color w:val="auto"/>
          <w:sz w:val="22"/>
          <w:szCs w:val="22"/>
        </w:rPr>
        <w:t>9. COMPROMISO INSTITUCIONAL</w:t>
      </w:r>
      <w:bookmarkEnd w:id="24"/>
    </w:p>
    <w:p w14:paraId="4301569C" w14:textId="77777777" w:rsidR="00F53AB1" w:rsidRPr="00A85FEA" w:rsidRDefault="00F53AB1" w:rsidP="00465E99">
      <w:pPr>
        <w:jc w:val="both"/>
        <w:rPr>
          <w:rFonts w:cs="Arial"/>
          <w:szCs w:val="22"/>
        </w:rPr>
      </w:pPr>
    </w:p>
    <w:p w14:paraId="25646961" w14:textId="77777777" w:rsidR="00F53AB1" w:rsidRPr="00A85FEA" w:rsidRDefault="00F53AB1" w:rsidP="00465E99">
      <w:pPr>
        <w:jc w:val="both"/>
        <w:rPr>
          <w:rFonts w:cs="Arial"/>
          <w:szCs w:val="22"/>
        </w:rPr>
      </w:pPr>
      <w:r w:rsidRPr="00A85FEA">
        <w:rPr>
          <w:rFonts w:cs="Arial"/>
          <w:szCs w:val="22"/>
        </w:rPr>
        <w:t xml:space="preserve">Los funcionarios de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 se comprometen a cumplir con todas y cada una de las tareas a su cargo para que la entidad pueda generar información que sea relevante y represente fielmente los hechos económicos, financieros, sociales y ambientales.</w:t>
      </w:r>
    </w:p>
    <w:p w14:paraId="182B6563" w14:textId="77777777" w:rsidR="00F53AB1" w:rsidRPr="00A85FEA" w:rsidRDefault="00F53AB1" w:rsidP="00E4636C">
      <w:pPr>
        <w:pStyle w:val="Ttulo1"/>
        <w:jc w:val="center"/>
        <w:rPr>
          <w:rFonts w:ascii="Arial" w:hAnsi="Arial" w:cs="Arial"/>
          <w:color w:val="auto"/>
          <w:sz w:val="22"/>
          <w:szCs w:val="22"/>
        </w:rPr>
      </w:pPr>
      <w:bookmarkStart w:id="25" w:name="_Toc525721325"/>
      <w:r w:rsidRPr="00A85FEA">
        <w:rPr>
          <w:rFonts w:ascii="Arial" w:hAnsi="Arial" w:cs="Arial"/>
          <w:color w:val="auto"/>
          <w:sz w:val="22"/>
          <w:szCs w:val="22"/>
        </w:rPr>
        <w:t>CAPITULO II. MARCO CONCEPTUAL</w:t>
      </w:r>
      <w:bookmarkEnd w:id="25"/>
    </w:p>
    <w:p w14:paraId="53DD54D1" w14:textId="77777777" w:rsidR="00F53AB1" w:rsidRPr="00A85FEA" w:rsidRDefault="00F53AB1" w:rsidP="00E25092">
      <w:pPr>
        <w:pStyle w:val="Ttulo1"/>
        <w:rPr>
          <w:rFonts w:ascii="Arial" w:hAnsi="Arial" w:cs="Arial"/>
          <w:color w:val="auto"/>
          <w:sz w:val="22"/>
          <w:szCs w:val="22"/>
        </w:rPr>
      </w:pPr>
      <w:bookmarkStart w:id="26" w:name="_Toc525721326"/>
      <w:r w:rsidRPr="00A85FEA">
        <w:rPr>
          <w:rFonts w:ascii="Arial" w:hAnsi="Arial" w:cs="Arial"/>
          <w:color w:val="auto"/>
          <w:sz w:val="22"/>
          <w:szCs w:val="22"/>
        </w:rPr>
        <w:t>1. OBJETIVO</w:t>
      </w:r>
      <w:bookmarkEnd w:id="26"/>
    </w:p>
    <w:p w14:paraId="6D0BA533" w14:textId="77777777" w:rsidR="00F53AB1" w:rsidRPr="00A85FEA" w:rsidRDefault="00F53AB1" w:rsidP="00D87929">
      <w:pPr>
        <w:rPr>
          <w:rFonts w:cs="Arial"/>
          <w:szCs w:val="22"/>
        </w:rPr>
      </w:pPr>
    </w:p>
    <w:p w14:paraId="72CD761B" w14:textId="77777777" w:rsidR="00F53AB1" w:rsidRPr="00A85FEA" w:rsidRDefault="00F53AB1" w:rsidP="00465E99">
      <w:pPr>
        <w:jc w:val="both"/>
        <w:rPr>
          <w:rFonts w:cs="Arial"/>
          <w:szCs w:val="22"/>
        </w:rPr>
      </w:pPr>
      <w:r w:rsidRPr="00A85FEA">
        <w:rPr>
          <w:rFonts w:cs="Arial"/>
          <w:szCs w:val="22"/>
        </w:rPr>
        <w:t>Apoyar a los usuarios en la interpretación de la información financiera de las entidades de gobierno, ayudar a quienes preparan y presentan información financiera en el proceso de construcción de esta y servir a los evaluadores de la información en el proceso de realización de juicios sobre la información financiera.</w:t>
      </w:r>
    </w:p>
    <w:p w14:paraId="4F38EF41" w14:textId="77777777" w:rsidR="00F53AB1" w:rsidRPr="00A85FEA" w:rsidRDefault="00F53AB1" w:rsidP="00E25092">
      <w:pPr>
        <w:pStyle w:val="Ttulo1"/>
        <w:rPr>
          <w:rFonts w:ascii="Arial" w:hAnsi="Arial" w:cs="Arial"/>
          <w:color w:val="auto"/>
          <w:sz w:val="22"/>
          <w:szCs w:val="22"/>
        </w:rPr>
      </w:pPr>
      <w:bookmarkStart w:id="27" w:name="_Toc525721327"/>
      <w:r w:rsidRPr="00A85FEA">
        <w:rPr>
          <w:rFonts w:ascii="Arial" w:hAnsi="Arial" w:cs="Arial"/>
          <w:color w:val="auto"/>
          <w:sz w:val="22"/>
          <w:szCs w:val="22"/>
        </w:rPr>
        <w:t>2. NORMATIVIDAD RELACIONADA</w:t>
      </w:r>
      <w:bookmarkEnd w:id="27"/>
    </w:p>
    <w:p w14:paraId="563F7DC8" w14:textId="77777777" w:rsidR="00F53AB1" w:rsidRPr="00A85FEA" w:rsidRDefault="00F53AB1" w:rsidP="00D87929">
      <w:pPr>
        <w:rPr>
          <w:rFonts w:cs="Arial"/>
          <w:szCs w:val="22"/>
        </w:rPr>
      </w:pPr>
    </w:p>
    <w:p w14:paraId="5CC95472" w14:textId="77777777" w:rsidR="00F53AB1" w:rsidRPr="00A85FEA" w:rsidRDefault="00F53AB1" w:rsidP="00D87929">
      <w:pPr>
        <w:rPr>
          <w:rFonts w:cs="Arial"/>
          <w:szCs w:val="22"/>
        </w:rPr>
      </w:pPr>
      <w:r w:rsidRPr="00A85FEA">
        <w:rPr>
          <w:rFonts w:cs="Arial"/>
          <w:szCs w:val="22"/>
        </w:rPr>
        <w:t>Marco conceptual para entidades de gobierno</w:t>
      </w:r>
    </w:p>
    <w:p w14:paraId="32B97DBF" w14:textId="77777777" w:rsidR="00F53AB1" w:rsidRPr="00A85FEA" w:rsidRDefault="00F53AB1" w:rsidP="00E25092">
      <w:pPr>
        <w:pStyle w:val="Ttulo1"/>
        <w:rPr>
          <w:rFonts w:ascii="Arial" w:hAnsi="Arial" w:cs="Arial"/>
          <w:color w:val="auto"/>
          <w:sz w:val="22"/>
          <w:szCs w:val="22"/>
        </w:rPr>
      </w:pPr>
      <w:bookmarkStart w:id="28" w:name="_Toc525721328"/>
      <w:r w:rsidRPr="00A85FEA">
        <w:rPr>
          <w:rFonts w:ascii="Arial" w:hAnsi="Arial" w:cs="Arial"/>
          <w:color w:val="auto"/>
          <w:sz w:val="22"/>
          <w:szCs w:val="22"/>
        </w:rPr>
        <w:t>3. ALCANCE</w:t>
      </w:r>
      <w:bookmarkEnd w:id="28"/>
    </w:p>
    <w:p w14:paraId="1119C42F" w14:textId="77777777" w:rsidR="00F53AB1" w:rsidRPr="00A85FEA" w:rsidRDefault="00F53AB1" w:rsidP="00D87929">
      <w:pPr>
        <w:rPr>
          <w:rFonts w:cs="Arial"/>
          <w:szCs w:val="22"/>
          <w:shd w:val="clear" w:color="auto" w:fill="FFFFFF"/>
        </w:rPr>
      </w:pPr>
    </w:p>
    <w:p w14:paraId="2487F09B" w14:textId="77777777" w:rsidR="00F53AB1" w:rsidRPr="00A85FEA" w:rsidRDefault="00F53AB1" w:rsidP="00D87929">
      <w:pPr>
        <w:rPr>
          <w:rFonts w:cs="Arial"/>
          <w:szCs w:val="22"/>
        </w:rPr>
      </w:pPr>
      <w:r w:rsidRPr="00A85FEA">
        <w:rPr>
          <w:rFonts w:cs="Arial"/>
          <w:szCs w:val="22"/>
        </w:rPr>
        <w:lastRenderedPageBreak/>
        <w:t>Marco conceptual para entidades de gobierno</w:t>
      </w:r>
    </w:p>
    <w:p w14:paraId="0E262043" w14:textId="77777777" w:rsidR="00F53AB1" w:rsidRPr="00A85FEA" w:rsidRDefault="00F53AB1" w:rsidP="00E25092">
      <w:pPr>
        <w:pStyle w:val="Ttulo1"/>
        <w:rPr>
          <w:rFonts w:ascii="Arial" w:hAnsi="Arial" w:cs="Arial"/>
          <w:color w:val="auto"/>
          <w:sz w:val="22"/>
          <w:szCs w:val="22"/>
        </w:rPr>
      </w:pPr>
      <w:bookmarkStart w:id="29" w:name="_Toc525721329"/>
      <w:r w:rsidRPr="00A85FEA">
        <w:rPr>
          <w:rFonts w:ascii="Arial" w:hAnsi="Arial" w:cs="Arial"/>
          <w:color w:val="auto"/>
          <w:sz w:val="22"/>
          <w:szCs w:val="22"/>
        </w:rPr>
        <w:t>4. POLÍTICA CONTABLE GENERAL</w:t>
      </w:r>
      <w:bookmarkEnd w:id="29"/>
    </w:p>
    <w:p w14:paraId="67B0556C" w14:textId="77777777" w:rsidR="00F53AB1" w:rsidRPr="00A85FEA" w:rsidRDefault="00F53AB1" w:rsidP="00D87929">
      <w:pPr>
        <w:rPr>
          <w:rFonts w:cs="Arial"/>
          <w:szCs w:val="22"/>
          <w:shd w:val="clear" w:color="auto" w:fill="FFFFFF"/>
        </w:rPr>
      </w:pPr>
    </w:p>
    <w:p w14:paraId="72C9FB14" w14:textId="77777777" w:rsidR="00F53AB1" w:rsidRPr="00A85FEA" w:rsidRDefault="00F53AB1" w:rsidP="00465E99">
      <w:pPr>
        <w:jc w:val="both"/>
        <w:rPr>
          <w:rFonts w:cs="Arial"/>
          <w:szCs w:val="22"/>
        </w:rPr>
      </w:pPr>
      <w:r w:rsidRPr="00A85FEA">
        <w:rPr>
          <w:rFonts w:cs="Arial"/>
          <w:szCs w:val="22"/>
        </w:rPr>
        <w:t>El presente Marco conceptual establece los conceptos que se deben observar en la preparación y presentación de información financiera de propósito general de las entidades de gobierno, es decir, aquellos que pretenden cubrir las necesidades de usuarios que no están en condiciones de exigir informes a la medida de sus necesidades específicas de información. El Marco conceptual constituye la base para el desarrollo normativo, instrumental y doctrinal del regulador y, por ende, tiene valor normativo superior a la regulación que de él se deriva.</w:t>
      </w:r>
    </w:p>
    <w:p w14:paraId="49B22F38" w14:textId="77777777" w:rsidR="00F53AB1" w:rsidRPr="00A85FEA" w:rsidRDefault="00F53AB1" w:rsidP="00D87929">
      <w:pPr>
        <w:rPr>
          <w:rFonts w:cs="Arial"/>
          <w:szCs w:val="22"/>
        </w:rPr>
      </w:pPr>
    </w:p>
    <w:p w14:paraId="53CA420C" w14:textId="77777777" w:rsidR="00F53AB1" w:rsidRPr="00A85FEA" w:rsidRDefault="00F53AB1" w:rsidP="00E25092">
      <w:pPr>
        <w:pStyle w:val="Ttulo1"/>
        <w:jc w:val="both"/>
        <w:rPr>
          <w:rFonts w:ascii="Arial" w:hAnsi="Arial" w:cs="Arial"/>
          <w:color w:val="auto"/>
          <w:sz w:val="22"/>
          <w:szCs w:val="22"/>
        </w:rPr>
      </w:pPr>
      <w:bookmarkStart w:id="30" w:name="_Toc525721330"/>
      <w:r w:rsidRPr="00A85FEA">
        <w:rPr>
          <w:rFonts w:ascii="Arial" w:hAnsi="Arial" w:cs="Arial"/>
          <w:color w:val="auto"/>
          <w:sz w:val="22"/>
          <w:szCs w:val="22"/>
        </w:rPr>
        <w:t>5. CARACTERÍSTICAS CUALITATIVAS DE LA INFORMACIÓN FINANCIERA</w:t>
      </w:r>
      <w:bookmarkEnd w:id="30"/>
      <w:r w:rsidRPr="00A85FEA">
        <w:rPr>
          <w:rFonts w:ascii="Arial" w:hAnsi="Arial" w:cs="Arial"/>
          <w:color w:val="auto"/>
          <w:sz w:val="22"/>
          <w:szCs w:val="22"/>
        </w:rPr>
        <w:t xml:space="preserve"> </w:t>
      </w:r>
    </w:p>
    <w:p w14:paraId="1154A3E0" w14:textId="77777777" w:rsidR="00F53AB1" w:rsidRPr="00A85FEA" w:rsidRDefault="00F53AB1" w:rsidP="00D87929">
      <w:pPr>
        <w:rPr>
          <w:rFonts w:cs="Arial"/>
          <w:szCs w:val="22"/>
        </w:rPr>
      </w:pPr>
    </w:p>
    <w:p w14:paraId="771F6FDC" w14:textId="77777777" w:rsidR="00F53AB1" w:rsidRPr="00A85FEA" w:rsidRDefault="00F53AB1" w:rsidP="00465E99">
      <w:pPr>
        <w:jc w:val="both"/>
        <w:rPr>
          <w:rFonts w:cs="Arial"/>
          <w:szCs w:val="22"/>
        </w:rPr>
      </w:pPr>
      <w:r w:rsidRPr="00A85FEA">
        <w:rPr>
          <w:rFonts w:cs="Arial"/>
          <w:szCs w:val="22"/>
        </w:rPr>
        <w:t xml:space="preserve">Las características cualitativas de la información financiera son los atributos que esta debe tener para que sea útil a los usuarios; es decir, para que contribuya con la rendición de cuentas, la toma de decisiones y el control. Estas se dividen en características fundamentales y de mejora. </w:t>
      </w:r>
    </w:p>
    <w:p w14:paraId="0C134090" w14:textId="77777777" w:rsidR="00F53AB1" w:rsidRPr="00A85FEA" w:rsidRDefault="00F53AB1" w:rsidP="00E25092">
      <w:pPr>
        <w:pStyle w:val="Ttulo1"/>
        <w:rPr>
          <w:rFonts w:ascii="Arial" w:hAnsi="Arial" w:cs="Arial"/>
          <w:color w:val="auto"/>
          <w:sz w:val="22"/>
          <w:szCs w:val="22"/>
        </w:rPr>
      </w:pPr>
      <w:bookmarkStart w:id="31" w:name="_Toc525721331"/>
      <w:r w:rsidRPr="00A85FEA">
        <w:rPr>
          <w:rFonts w:ascii="Arial" w:hAnsi="Arial" w:cs="Arial"/>
          <w:color w:val="auto"/>
          <w:sz w:val="22"/>
          <w:szCs w:val="22"/>
        </w:rPr>
        <w:t>5.1. Características fundamentales</w:t>
      </w:r>
      <w:bookmarkEnd w:id="31"/>
      <w:r w:rsidRPr="00A85FEA">
        <w:rPr>
          <w:rFonts w:ascii="Arial" w:hAnsi="Arial" w:cs="Arial"/>
          <w:color w:val="auto"/>
          <w:sz w:val="22"/>
          <w:szCs w:val="22"/>
        </w:rPr>
        <w:t xml:space="preserve"> </w:t>
      </w:r>
    </w:p>
    <w:p w14:paraId="59A08EAE" w14:textId="77777777" w:rsidR="00F53AB1" w:rsidRPr="00A85FEA" w:rsidRDefault="00F53AB1" w:rsidP="00D87929">
      <w:pPr>
        <w:rPr>
          <w:rFonts w:cs="Arial"/>
          <w:szCs w:val="22"/>
        </w:rPr>
      </w:pPr>
    </w:p>
    <w:p w14:paraId="7F8E9627" w14:textId="77777777" w:rsidR="00F53AB1" w:rsidRPr="00A85FEA" w:rsidRDefault="00F53AB1" w:rsidP="00465E99">
      <w:pPr>
        <w:jc w:val="both"/>
        <w:rPr>
          <w:rFonts w:cs="Arial"/>
          <w:szCs w:val="22"/>
        </w:rPr>
      </w:pPr>
      <w:r w:rsidRPr="00A85FEA">
        <w:rPr>
          <w:rFonts w:cs="Arial"/>
          <w:szCs w:val="22"/>
        </w:rPr>
        <w:t xml:space="preserve">Las características fundamentales son aquellas que la información financiera debe cumplir necesariamente para que sea útil a sus usuarios. Se consideran características fundamentales de la información financiera, las siguientes: Relevancia y Representación fiel. </w:t>
      </w:r>
    </w:p>
    <w:p w14:paraId="1C235A6B" w14:textId="77777777" w:rsidR="00F53AB1" w:rsidRPr="00A85FEA" w:rsidRDefault="00F53AB1" w:rsidP="00D87929">
      <w:pPr>
        <w:rPr>
          <w:rFonts w:cs="Arial"/>
          <w:szCs w:val="22"/>
        </w:rPr>
      </w:pPr>
    </w:p>
    <w:p w14:paraId="13508547" w14:textId="77777777" w:rsidR="00F53AB1" w:rsidRPr="00A85FEA" w:rsidRDefault="00F53AB1" w:rsidP="00D87929">
      <w:pPr>
        <w:rPr>
          <w:rFonts w:cs="Arial"/>
          <w:szCs w:val="22"/>
        </w:rPr>
      </w:pPr>
    </w:p>
    <w:p w14:paraId="1315B66F" w14:textId="77777777" w:rsidR="00F53AB1" w:rsidRPr="00A85FEA" w:rsidRDefault="00F53AB1" w:rsidP="00D87929">
      <w:pPr>
        <w:rPr>
          <w:rFonts w:cs="Arial"/>
          <w:szCs w:val="22"/>
        </w:rPr>
      </w:pPr>
      <w:r w:rsidRPr="00A85FEA">
        <w:rPr>
          <w:rFonts w:cs="Arial"/>
          <w:szCs w:val="22"/>
        </w:rPr>
        <w:t xml:space="preserve">5.1.1. Relevancia </w:t>
      </w:r>
    </w:p>
    <w:p w14:paraId="4304784C" w14:textId="77777777" w:rsidR="00F53AB1" w:rsidRPr="00A85FEA" w:rsidRDefault="00F53AB1" w:rsidP="00D87929">
      <w:pPr>
        <w:rPr>
          <w:rFonts w:cs="Arial"/>
          <w:szCs w:val="22"/>
        </w:rPr>
      </w:pPr>
    </w:p>
    <w:p w14:paraId="1D87C963" w14:textId="77777777" w:rsidR="00F53AB1" w:rsidRPr="00A85FEA" w:rsidRDefault="00F53AB1" w:rsidP="00465E99">
      <w:pPr>
        <w:jc w:val="both"/>
        <w:rPr>
          <w:rFonts w:cs="Arial"/>
          <w:szCs w:val="22"/>
        </w:rPr>
      </w:pPr>
      <w:r w:rsidRPr="00A85FEA">
        <w:rPr>
          <w:rFonts w:cs="Arial"/>
          <w:szCs w:val="22"/>
        </w:rPr>
        <w:t xml:space="preserve">La información financiera es relevante si es capaz de influir en las decisiones que han de tomar sus usuarios. La información financiera influye en los usuarios si es material y si tiene valor predictivo, valor confirmatorio, o ambos. La información es material si su omisión o expresión inadecuada puede influir en las decisiones de los usuarios. La materialidad o importancia relativa es un aspecto de la relevancia específico de la entidad que está basado en la naturaleza o magnitud (o ambas) de las partidas a las que se refiere la información en el contexto del informe financiero de una entidad. </w:t>
      </w:r>
    </w:p>
    <w:p w14:paraId="7D45A344" w14:textId="77777777" w:rsidR="00F53AB1" w:rsidRPr="00A85FEA" w:rsidRDefault="00F53AB1" w:rsidP="00465E99">
      <w:pPr>
        <w:jc w:val="both"/>
        <w:rPr>
          <w:rFonts w:cs="Arial"/>
          <w:szCs w:val="22"/>
        </w:rPr>
      </w:pPr>
    </w:p>
    <w:p w14:paraId="739572C4" w14:textId="77777777" w:rsidR="00F53AB1" w:rsidRPr="00A85FEA" w:rsidRDefault="00F53AB1" w:rsidP="00465E99">
      <w:pPr>
        <w:jc w:val="both"/>
        <w:rPr>
          <w:rFonts w:cs="Arial"/>
          <w:szCs w:val="22"/>
        </w:rPr>
      </w:pPr>
      <w:r w:rsidRPr="00A85FEA">
        <w:rPr>
          <w:rFonts w:cs="Arial"/>
          <w:szCs w:val="22"/>
        </w:rPr>
        <w:t xml:space="preserve">Para la preparación y presentación de los estados financieros </w:t>
      </w:r>
      <w:r w:rsidRPr="00A85FEA">
        <w:rPr>
          <w:rFonts w:eastAsia="Calibri" w:cs="Arial"/>
          <w:szCs w:val="22"/>
        </w:rPr>
        <w:t>la Corporación para el Desarrollo Sostenible del Norte y el Oriente Amazónico – CDA</w:t>
      </w:r>
      <w:r w:rsidRPr="00A85FEA">
        <w:rPr>
          <w:rFonts w:cs="Arial"/>
          <w:bCs/>
          <w:szCs w:val="22"/>
        </w:rPr>
        <w:t xml:space="preserve"> definió la materialidad de </w:t>
      </w:r>
      <w:r w:rsidRPr="00A85FEA">
        <w:rPr>
          <w:rFonts w:cs="Arial"/>
          <w:bCs/>
          <w:szCs w:val="22"/>
        </w:rPr>
        <w:lastRenderedPageBreak/>
        <w:t>una partida cuando esta sea superior a la cuantía en un 5% en relación al activo total, activo corriente y no corriente, pasivo total, pasivo corriente y no corriente, al patrimonio, a los ingresos y a los gastos, según corresponda.</w:t>
      </w:r>
    </w:p>
    <w:p w14:paraId="4760CE33" w14:textId="77777777" w:rsidR="00F53AB1" w:rsidRPr="00A85FEA" w:rsidRDefault="00F53AB1" w:rsidP="00465E99">
      <w:pPr>
        <w:jc w:val="both"/>
        <w:rPr>
          <w:rFonts w:cs="Arial"/>
          <w:szCs w:val="22"/>
        </w:rPr>
      </w:pPr>
    </w:p>
    <w:p w14:paraId="67D36440" w14:textId="77777777" w:rsidR="00F53AB1" w:rsidRPr="00A85FEA" w:rsidRDefault="00F53AB1" w:rsidP="00465E99">
      <w:pPr>
        <w:jc w:val="both"/>
        <w:rPr>
          <w:rFonts w:cs="Arial"/>
          <w:szCs w:val="22"/>
        </w:rPr>
      </w:pPr>
      <w:r w:rsidRPr="00A85FEA">
        <w:rPr>
          <w:rFonts w:cs="Arial"/>
          <w:szCs w:val="22"/>
        </w:rPr>
        <w:t xml:space="preserve">Para definir esta política de materialidad en forma general,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 xml:space="preserve"> tomo lo establecido en el Libro 1 Plan General de Contabilidad Pública.</w:t>
      </w:r>
    </w:p>
    <w:p w14:paraId="33B9D067" w14:textId="77777777" w:rsidR="00F53AB1" w:rsidRPr="00A85FEA" w:rsidRDefault="00F53AB1" w:rsidP="00465E99">
      <w:pPr>
        <w:jc w:val="both"/>
        <w:rPr>
          <w:rFonts w:cs="Arial"/>
          <w:szCs w:val="22"/>
        </w:rPr>
      </w:pPr>
    </w:p>
    <w:p w14:paraId="7A7CE17F" w14:textId="77777777" w:rsidR="00F53AB1" w:rsidRPr="00A85FEA" w:rsidRDefault="00F53AB1" w:rsidP="00465E99">
      <w:pPr>
        <w:jc w:val="both"/>
        <w:rPr>
          <w:rFonts w:cs="Arial"/>
          <w:szCs w:val="22"/>
        </w:rPr>
      </w:pPr>
      <w:r w:rsidRPr="00A85FEA">
        <w:rPr>
          <w:rFonts w:cs="Arial"/>
          <w:szCs w:val="22"/>
        </w:rPr>
        <w:t>Para el caso de la cuantía</w:t>
      </w:r>
      <w:r w:rsidRPr="00A85FEA">
        <w:rPr>
          <w:rFonts w:eastAsia="Calibri" w:cs="Arial"/>
          <w:szCs w:val="22"/>
        </w:rPr>
        <w:t xml:space="preserve"> </w:t>
      </w:r>
      <w:r w:rsidRPr="00A85FEA">
        <w:rPr>
          <w:rFonts w:cs="Arial"/>
          <w:szCs w:val="22"/>
        </w:rPr>
        <w:t>no considera materiales las partidas o hechos económicos que no superen el cinco por ciento (5%) en relación con un total.</w:t>
      </w:r>
    </w:p>
    <w:p w14:paraId="23E3BC6D" w14:textId="77777777" w:rsidR="00F53AB1" w:rsidRPr="00A85FEA" w:rsidRDefault="00F53AB1" w:rsidP="00465E99">
      <w:pPr>
        <w:jc w:val="both"/>
        <w:rPr>
          <w:rFonts w:cs="Arial"/>
          <w:szCs w:val="22"/>
        </w:rPr>
      </w:pPr>
    </w:p>
    <w:p w14:paraId="72C05BAA" w14:textId="77777777" w:rsidR="00F53AB1" w:rsidRPr="00A85FEA" w:rsidRDefault="00F53AB1" w:rsidP="00465E99">
      <w:pPr>
        <w:jc w:val="both"/>
        <w:rPr>
          <w:rFonts w:cs="Arial"/>
          <w:szCs w:val="22"/>
        </w:rPr>
      </w:pPr>
      <w:r w:rsidRPr="00A85FEA">
        <w:rPr>
          <w:rFonts w:cs="Arial"/>
          <w:szCs w:val="22"/>
        </w:rPr>
        <w:t>En el caso de la naturaleza, deben tenerse en cuenta los siguientes aspectos de manera individual o en conjunto:</w:t>
      </w:r>
    </w:p>
    <w:p w14:paraId="58898031" w14:textId="77777777" w:rsidR="00F53AB1" w:rsidRPr="00A85FEA" w:rsidRDefault="00F53AB1" w:rsidP="00465E99">
      <w:pPr>
        <w:jc w:val="both"/>
        <w:rPr>
          <w:rFonts w:cs="Arial"/>
          <w:szCs w:val="22"/>
        </w:rPr>
      </w:pPr>
      <w:r w:rsidRPr="00A85FEA">
        <w:rPr>
          <w:rFonts w:cs="Arial"/>
          <w:szCs w:val="22"/>
        </w:rPr>
        <w:t xml:space="preserve"> </w:t>
      </w:r>
    </w:p>
    <w:p w14:paraId="2E07C652" w14:textId="77777777" w:rsidR="00F53AB1" w:rsidRPr="00A85FEA" w:rsidRDefault="00F53AB1" w:rsidP="00465E99">
      <w:pPr>
        <w:jc w:val="both"/>
        <w:rPr>
          <w:rFonts w:cs="Arial"/>
          <w:szCs w:val="22"/>
        </w:rPr>
      </w:pPr>
      <w:r w:rsidRPr="00A85FEA">
        <w:rPr>
          <w:rFonts w:cs="Arial"/>
          <w:szCs w:val="22"/>
        </w:rPr>
        <w:t xml:space="preserve">Si se trata de actividades ordinarias o partidas extraordinarias; </w:t>
      </w:r>
    </w:p>
    <w:p w14:paraId="7B500E8D" w14:textId="77777777" w:rsidR="00F53AB1" w:rsidRPr="00A85FEA" w:rsidRDefault="00F53AB1" w:rsidP="00465E99">
      <w:pPr>
        <w:jc w:val="both"/>
        <w:rPr>
          <w:rFonts w:cs="Arial"/>
          <w:szCs w:val="22"/>
        </w:rPr>
      </w:pPr>
      <w:r w:rsidRPr="00A85FEA">
        <w:rPr>
          <w:rFonts w:cs="Arial"/>
          <w:szCs w:val="22"/>
        </w:rPr>
        <w:t xml:space="preserve">Si las transacciones o hechos representan riesgos u oportunidades para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 xml:space="preserve">; </w:t>
      </w:r>
    </w:p>
    <w:p w14:paraId="494B4476" w14:textId="77777777" w:rsidR="00F53AB1" w:rsidRPr="00A85FEA" w:rsidRDefault="00F53AB1" w:rsidP="00465E99">
      <w:pPr>
        <w:jc w:val="both"/>
        <w:rPr>
          <w:rFonts w:cs="Arial"/>
          <w:szCs w:val="22"/>
        </w:rPr>
      </w:pPr>
      <w:r w:rsidRPr="00A85FEA">
        <w:rPr>
          <w:rFonts w:cs="Arial"/>
          <w:szCs w:val="22"/>
        </w:rPr>
        <w:t>Si influyen o pueden influir significativamente en sus resultados;</w:t>
      </w:r>
    </w:p>
    <w:p w14:paraId="678E4BD7" w14:textId="77777777" w:rsidR="00F53AB1" w:rsidRPr="00A85FEA" w:rsidRDefault="00F53AB1" w:rsidP="00465E99">
      <w:pPr>
        <w:jc w:val="both"/>
        <w:rPr>
          <w:rFonts w:cs="Arial"/>
          <w:szCs w:val="22"/>
        </w:rPr>
      </w:pPr>
      <w:r w:rsidRPr="00A85FEA">
        <w:rPr>
          <w:rFonts w:cs="Arial"/>
          <w:szCs w:val="22"/>
        </w:rPr>
        <w:t xml:space="preserve">Si compromete la continuidad o funcionamiento de </w:t>
      </w:r>
      <w:r w:rsidRPr="00A85FEA">
        <w:rPr>
          <w:rFonts w:eastAsia="Calibri" w:cs="Arial"/>
          <w:szCs w:val="22"/>
        </w:rPr>
        <w:t xml:space="preserve">la </w:t>
      </w:r>
      <w:r w:rsidRPr="00A85FEA">
        <w:rPr>
          <w:rFonts w:cs="Arial"/>
          <w:bCs/>
          <w:szCs w:val="22"/>
        </w:rPr>
        <w:t>Corporación para el Desarrollo Sostenible del Norte y el Oriente Amazónico – CDA</w:t>
      </w:r>
      <w:r w:rsidRPr="00A85FEA">
        <w:rPr>
          <w:rFonts w:cs="Arial"/>
          <w:szCs w:val="22"/>
        </w:rPr>
        <w:t>.</w:t>
      </w:r>
    </w:p>
    <w:p w14:paraId="5900634D" w14:textId="77777777" w:rsidR="00F53AB1" w:rsidRPr="00A85FEA" w:rsidRDefault="00F53AB1" w:rsidP="00465E99">
      <w:pPr>
        <w:jc w:val="both"/>
        <w:rPr>
          <w:rFonts w:cs="Arial"/>
          <w:szCs w:val="22"/>
        </w:rPr>
      </w:pPr>
    </w:p>
    <w:p w14:paraId="7EEE65E6" w14:textId="77777777" w:rsidR="00F53AB1" w:rsidRPr="00A85FEA" w:rsidRDefault="00F53AB1" w:rsidP="00465E99">
      <w:pPr>
        <w:jc w:val="both"/>
        <w:rPr>
          <w:rFonts w:cs="Arial"/>
          <w:szCs w:val="22"/>
        </w:rPr>
      </w:pPr>
      <w:r w:rsidRPr="00A85FEA">
        <w:rPr>
          <w:rFonts w:cs="Arial"/>
          <w:szCs w:val="22"/>
        </w:rPr>
        <w:t xml:space="preserve">La información financiera tiene valor predictivo si puede utilizarse como una variable de entrada en los procesos empleados por los usuarios para pronosticar resultados futuros. La información financiera tiene valor confirmatorio si ratifica o cambia evaluaciones anteriores. Los valores predictivos y confirmatorios de la información generalmente están interrelacionados; así, la información que tiene valor predictivo habitualmente tiene también valor confirmatorio. </w:t>
      </w:r>
    </w:p>
    <w:p w14:paraId="1AC81C19" w14:textId="77777777" w:rsidR="00F53AB1" w:rsidRPr="00A85FEA" w:rsidRDefault="00F53AB1" w:rsidP="00D87929">
      <w:pPr>
        <w:rPr>
          <w:rFonts w:cs="Arial"/>
          <w:szCs w:val="22"/>
        </w:rPr>
      </w:pPr>
    </w:p>
    <w:p w14:paraId="09EAA228" w14:textId="77777777" w:rsidR="00F53AB1" w:rsidRPr="00A85FEA" w:rsidRDefault="00F53AB1" w:rsidP="00D87929">
      <w:pPr>
        <w:rPr>
          <w:rFonts w:cs="Arial"/>
          <w:szCs w:val="22"/>
        </w:rPr>
      </w:pPr>
    </w:p>
    <w:p w14:paraId="095B9F6B" w14:textId="77777777" w:rsidR="00F53AB1" w:rsidRPr="00A85FEA" w:rsidRDefault="00F53AB1" w:rsidP="00D87929">
      <w:pPr>
        <w:rPr>
          <w:rFonts w:cs="Arial"/>
          <w:szCs w:val="22"/>
        </w:rPr>
      </w:pPr>
      <w:r w:rsidRPr="00A85FEA">
        <w:rPr>
          <w:rFonts w:cs="Arial"/>
          <w:szCs w:val="22"/>
        </w:rPr>
        <w:t xml:space="preserve">5.1.2. Representación fiel </w:t>
      </w:r>
    </w:p>
    <w:p w14:paraId="1AFF78E8" w14:textId="77777777" w:rsidR="00F53AB1" w:rsidRPr="00A85FEA" w:rsidRDefault="00F53AB1" w:rsidP="00D87929">
      <w:pPr>
        <w:rPr>
          <w:rFonts w:cs="Arial"/>
          <w:szCs w:val="22"/>
        </w:rPr>
      </w:pPr>
    </w:p>
    <w:p w14:paraId="55CE1620" w14:textId="77777777" w:rsidR="00F53AB1" w:rsidRPr="00A85FEA" w:rsidRDefault="00F53AB1" w:rsidP="0099675F">
      <w:pPr>
        <w:jc w:val="both"/>
        <w:rPr>
          <w:rFonts w:cs="Arial"/>
          <w:szCs w:val="22"/>
        </w:rPr>
      </w:pPr>
      <w:r w:rsidRPr="00A85FEA">
        <w:rPr>
          <w:rFonts w:cs="Arial"/>
          <w:szCs w:val="22"/>
        </w:rPr>
        <w:t xml:space="preserve">Para ser útil, la información financiera debe representar fielmente los hechos económicos. La representación fiel se alcanza cuando la descripción del fenómeno es completa, neutral, y libre de error significativo. Una descripción completa incluye toda la información necesaria para que un usuario comprenda el hecho que está siendo representado, y todas las descripciones y explicaciones pertinentes. Una descripción neutral no tiene sesgo en la selección o presentación de la información financiera ni de ningún otro tipo; tampoco está ponderada, enfatizada, atenuada o manipulada para incrementar la probabilidad de que la información financiera se reciba de forma favorable o adversa por los usuarios. Sin embargo, información neutral no significa información sin propósito o influencia sobre el comportamiento de los usuarios, sino que es útil y por tanto, es, por definición, capaz de influir en las decisiones de los usuarios. Una descripción libre de error significativo quiere decir que no hay errores u omisiones que sean materiales, de forma individual o colectiva, </w:t>
      </w:r>
      <w:r w:rsidRPr="00A85FEA">
        <w:rPr>
          <w:rFonts w:cs="Arial"/>
          <w:szCs w:val="22"/>
        </w:rPr>
        <w:lastRenderedPageBreak/>
        <w:t>en la descripción del hecho económico y que el proceso utilizado para producir la información presentada se ha seleccionado y aplicado sin errores. En este contexto, libre de errores no significa exacto en todos los aspectos. Dado que, para ser útil, la información debe ser relevante y representar fielmente aquello que pretende representar, ni una representación fiel de un hecho irrelevante ni una representación no fidedigna de un hecho relevante ayudan a los usuarios a tomar decisiones adecuadas.</w:t>
      </w:r>
    </w:p>
    <w:p w14:paraId="5E33AC27" w14:textId="77777777" w:rsidR="00F53AB1" w:rsidRPr="00A85FEA" w:rsidRDefault="00F53AB1" w:rsidP="0099675F">
      <w:pPr>
        <w:jc w:val="both"/>
        <w:rPr>
          <w:rFonts w:cs="Arial"/>
          <w:szCs w:val="22"/>
        </w:rPr>
      </w:pPr>
    </w:p>
    <w:p w14:paraId="7F604EE6" w14:textId="77777777" w:rsidR="00F53AB1" w:rsidRPr="00A85FEA" w:rsidRDefault="00F53AB1" w:rsidP="00D87929">
      <w:pPr>
        <w:rPr>
          <w:rFonts w:cs="Arial"/>
          <w:szCs w:val="22"/>
        </w:rPr>
      </w:pPr>
      <w:r w:rsidRPr="00A85FEA">
        <w:rPr>
          <w:rFonts w:cs="Arial"/>
          <w:szCs w:val="22"/>
        </w:rPr>
        <w:t xml:space="preserve">5.2. Características de mejora </w:t>
      </w:r>
    </w:p>
    <w:p w14:paraId="2CBFBBA0" w14:textId="77777777" w:rsidR="00F53AB1" w:rsidRPr="00A85FEA" w:rsidRDefault="00F53AB1" w:rsidP="00D87929">
      <w:pPr>
        <w:rPr>
          <w:rFonts w:cs="Arial"/>
          <w:szCs w:val="22"/>
        </w:rPr>
      </w:pPr>
    </w:p>
    <w:p w14:paraId="528DBC85" w14:textId="77777777" w:rsidR="00F53AB1" w:rsidRPr="00A85FEA" w:rsidRDefault="00F53AB1" w:rsidP="0099675F">
      <w:pPr>
        <w:jc w:val="both"/>
        <w:rPr>
          <w:rFonts w:cs="Arial"/>
          <w:szCs w:val="22"/>
        </w:rPr>
      </w:pPr>
      <w:r w:rsidRPr="00A85FEA">
        <w:rPr>
          <w:rFonts w:cs="Arial"/>
          <w:szCs w:val="22"/>
        </w:rPr>
        <w:t xml:space="preserve">Las características de mejora son aquellas que, sin ser indispensables para que la información financiera sea útil, incrementan la utilidad de dicha información. Se consideran características de mejora de la información financiera, las siguientes: Verificabilidad, Oportunidad, Comprensibilidad y Comparabilidad. En general, las características cualitativas que mejoran la utilidad de la información financiera deben maximizarse en la medida de lo posible. Sin embargo, estas (individualmente o en grupo) no pueden hacer que la información sea útil si es irrelevante y no representa fielmente los hechos económicos de la entidad. La aplicación de las características cualitativas que mejoran la utilidad de la información financiera es un proceso que no sigue un orden determinado. Algunas veces, una característica cualitativa puede haber tenido que disminuirse para maximizar otra característica. Por ejemplo, una reducción temporal de la comparabilidad que resulte de la aplicación prospectiva de una norma nueva puede justificarse por el mejoramiento de la relevancia o la representación fiel de un hecho a largo plazo; así, la información adecuada a revelar puede compensar, parcialmente, la falta de comparabilidad. Las características de mejora son las siguientes: Verificabilidad, Oportunidad, Comprensibilidad y Comparabilidad. </w:t>
      </w:r>
    </w:p>
    <w:p w14:paraId="22861A87" w14:textId="77777777" w:rsidR="00F53AB1" w:rsidRPr="00A85FEA" w:rsidRDefault="00F53AB1" w:rsidP="00D87929">
      <w:pPr>
        <w:rPr>
          <w:rFonts w:cs="Arial"/>
          <w:szCs w:val="22"/>
        </w:rPr>
      </w:pPr>
    </w:p>
    <w:p w14:paraId="0DB46937" w14:textId="77777777" w:rsidR="00F53AB1" w:rsidRPr="00A85FEA" w:rsidRDefault="00F53AB1" w:rsidP="00D87929">
      <w:pPr>
        <w:rPr>
          <w:rFonts w:cs="Arial"/>
          <w:szCs w:val="22"/>
        </w:rPr>
      </w:pPr>
    </w:p>
    <w:p w14:paraId="5D3510FC" w14:textId="77777777" w:rsidR="00F53AB1" w:rsidRPr="00A85FEA" w:rsidRDefault="00F53AB1" w:rsidP="00D87929">
      <w:pPr>
        <w:rPr>
          <w:rFonts w:cs="Arial"/>
          <w:szCs w:val="22"/>
        </w:rPr>
      </w:pPr>
      <w:r w:rsidRPr="00A85FEA">
        <w:rPr>
          <w:rFonts w:cs="Arial"/>
          <w:szCs w:val="22"/>
        </w:rPr>
        <w:t xml:space="preserve">5.2.1. Verificabilidad </w:t>
      </w:r>
    </w:p>
    <w:p w14:paraId="57D9819E" w14:textId="77777777" w:rsidR="00F53AB1" w:rsidRPr="00A85FEA" w:rsidRDefault="00F53AB1" w:rsidP="00D87929">
      <w:pPr>
        <w:rPr>
          <w:rFonts w:cs="Arial"/>
          <w:szCs w:val="22"/>
        </w:rPr>
      </w:pPr>
    </w:p>
    <w:p w14:paraId="4E4E5DB8" w14:textId="77777777" w:rsidR="00F53AB1" w:rsidRPr="00A85FEA" w:rsidRDefault="00F53AB1" w:rsidP="00E55B29">
      <w:pPr>
        <w:jc w:val="both"/>
        <w:rPr>
          <w:rFonts w:cs="Arial"/>
          <w:szCs w:val="22"/>
        </w:rPr>
      </w:pPr>
      <w:r w:rsidRPr="00A85FEA">
        <w:rPr>
          <w:rFonts w:cs="Arial"/>
          <w:szCs w:val="22"/>
        </w:rPr>
        <w:t>La verificabilidad ayuda a asegurar, a los usuarios, que la información financiera representa fielmente los hechos económicos que pretende representar. Verificabilidad significa que diferentes observadores independientes y debidamente informados podrían alcanzar un acuerdo, aunque no necesariamente completo, sobre la fidelidad de la representación de una descripción particular. Para ser verificable, la información cuantificada no necesita ser una estimación única, también puede verificarse un rango de posibles valores y probabilidades relacionadas. La verificación puede ser directa o indirecta. Verificación directa significa comprobar un valor u otra representación mediante observación directa como, por ejemplo, cuando se cuenta efectivo. Verificación indirecta significa comprobar las variables de un modelo, fórmulas u otra técnica y recalcular el resultado utilizando la misma metodología como, por ejemplo, cuando se verifica el valor del inventario comprobando las variables (cantidades y costos) y se recalcula el saldo final utilizando una misma suposición de flujo de costo (por ejemplo, el método primero entrada, primera salida).</w:t>
      </w:r>
    </w:p>
    <w:p w14:paraId="2F6E3516" w14:textId="77777777" w:rsidR="00F53AB1" w:rsidRPr="00A85FEA" w:rsidRDefault="00F53AB1" w:rsidP="00E55B29">
      <w:pPr>
        <w:jc w:val="both"/>
        <w:rPr>
          <w:rFonts w:cs="Arial"/>
          <w:szCs w:val="22"/>
        </w:rPr>
      </w:pPr>
    </w:p>
    <w:p w14:paraId="31F74D48" w14:textId="77777777" w:rsidR="00F53AB1" w:rsidRPr="00A85FEA" w:rsidRDefault="00F53AB1" w:rsidP="00E55B29">
      <w:pPr>
        <w:jc w:val="both"/>
        <w:rPr>
          <w:rFonts w:cs="Arial"/>
          <w:szCs w:val="22"/>
        </w:rPr>
      </w:pPr>
      <w:r w:rsidRPr="00A85FEA">
        <w:rPr>
          <w:rFonts w:cs="Arial"/>
          <w:szCs w:val="22"/>
        </w:rPr>
        <w:t xml:space="preserve">Puede suceder que no sea posible verificar algunas explicaciones e información financiera prospectiva hasta un periodo futuro. Por ello, para ayudar a los usuarios a decidir si quieren utilizar esa información, es necesario revelar las hipótesis subyacentes, los métodos de recopilación de la información, y otros factores y circunstancias que la respaldan. </w:t>
      </w:r>
    </w:p>
    <w:p w14:paraId="775C9726" w14:textId="77777777" w:rsidR="00F53AB1" w:rsidRDefault="00F53AB1" w:rsidP="00D87929">
      <w:pPr>
        <w:rPr>
          <w:rFonts w:cs="Arial"/>
          <w:szCs w:val="22"/>
        </w:rPr>
      </w:pPr>
    </w:p>
    <w:p w14:paraId="361F7E66" w14:textId="77777777" w:rsidR="005B413F" w:rsidRPr="00A85FEA" w:rsidRDefault="005B413F" w:rsidP="00D87929">
      <w:pPr>
        <w:rPr>
          <w:rFonts w:cs="Arial"/>
          <w:szCs w:val="22"/>
        </w:rPr>
      </w:pPr>
    </w:p>
    <w:p w14:paraId="7140D09D" w14:textId="77777777" w:rsidR="00F53AB1" w:rsidRPr="00A85FEA" w:rsidRDefault="00F53AB1" w:rsidP="00D87929">
      <w:pPr>
        <w:rPr>
          <w:rFonts w:cs="Arial"/>
          <w:szCs w:val="22"/>
        </w:rPr>
      </w:pPr>
      <w:r w:rsidRPr="00A85FEA">
        <w:rPr>
          <w:rFonts w:cs="Arial"/>
          <w:szCs w:val="22"/>
        </w:rPr>
        <w:t xml:space="preserve">5.2.2. Oportunidad </w:t>
      </w:r>
    </w:p>
    <w:p w14:paraId="5E9014C3" w14:textId="77777777" w:rsidR="00F53AB1" w:rsidRPr="00A85FEA" w:rsidRDefault="00F53AB1" w:rsidP="00D87929">
      <w:pPr>
        <w:rPr>
          <w:rFonts w:cs="Arial"/>
          <w:szCs w:val="22"/>
        </w:rPr>
      </w:pPr>
    </w:p>
    <w:p w14:paraId="58797540" w14:textId="77777777" w:rsidR="00F53AB1" w:rsidRPr="00A85FEA" w:rsidRDefault="00F53AB1" w:rsidP="00E55B29">
      <w:pPr>
        <w:jc w:val="both"/>
        <w:rPr>
          <w:rFonts w:cs="Arial"/>
          <w:szCs w:val="22"/>
        </w:rPr>
      </w:pPr>
      <w:r w:rsidRPr="00A85FEA">
        <w:rPr>
          <w:rFonts w:cs="Arial"/>
          <w:szCs w:val="22"/>
        </w:rPr>
        <w:t xml:space="preserve">La oportunidad significa tener, a tiempo, información disponible para los usuarios con el fin de que pueda influir en sus decisiones. Cierta información puede continuar siendo oportuna durante bastante tiempo después del cierre del periodo contable porque, por ejemplo, algunos usuarios pueden necesitar identificar y evaluar tendencias, así como analizar información financiera de un periodo anterior. </w:t>
      </w:r>
    </w:p>
    <w:p w14:paraId="4693EE1E" w14:textId="77777777" w:rsidR="00F53AB1" w:rsidRPr="00A85FEA" w:rsidRDefault="00F53AB1" w:rsidP="00D87929">
      <w:pPr>
        <w:rPr>
          <w:rFonts w:cs="Arial"/>
          <w:szCs w:val="22"/>
        </w:rPr>
      </w:pPr>
    </w:p>
    <w:p w14:paraId="3422D4E2" w14:textId="77777777" w:rsidR="00F53AB1" w:rsidRPr="00A85FEA" w:rsidRDefault="00F53AB1" w:rsidP="00D87929">
      <w:pPr>
        <w:rPr>
          <w:rFonts w:cs="Arial"/>
          <w:szCs w:val="22"/>
        </w:rPr>
      </w:pPr>
      <w:r w:rsidRPr="00A85FEA">
        <w:rPr>
          <w:rFonts w:cs="Arial"/>
          <w:szCs w:val="22"/>
        </w:rPr>
        <w:t xml:space="preserve">5.2.3. Comprensibilidad </w:t>
      </w:r>
    </w:p>
    <w:p w14:paraId="374DAFBA" w14:textId="77777777" w:rsidR="00F53AB1" w:rsidRPr="00A85FEA" w:rsidRDefault="00F53AB1" w:rsidP="00D87929">
      <w:pPr>
        <w:rPr>
          <w:rFonts w:cs="Arial"/>
          <w:szCs w:val="22"/>
        </w:rPr>
      </w:pPr>
    </w:p>
    <w:p w14:paraId="3A5B534E" w14:textId="77777777" w:rsidR="00F53AB1" w:rsidRPr="00A85FEA" w:rsidRDefault="00F53AB1" w:rsidP="00E55B29">
      <w:pPr>
        <w:jc w:val="both"/>
        <w:rPr>
          <w:rFonts w:cs="Arial"/>
          <w:szCs w:val="22"/>
        </w:rPr>
      </w:pPr>
      <w:r w:rsidRPr="00A85FEA">
        <w:rPr>
          <w:rFonts w:cs="Arial"/>
          <w:szCs w:val="22"/>
        </w:rPr>
        <w:t xml:space="preserve">La comprensibilidad significa que la información está clasificada, caracterizada y presentada de forma clara y concisa. La información financiera se prepara para usuarios que tienen un conocimiento razonable del sector público, las entidades de gobierno y las actividades económicas, quienes revisan y analizan la información con diligencia. No obstante, a veces, incluso usuarios diligentes y bien informados pueden necesitar la ayuda de un asesor para comprender información sobre hechos económicos complejos. </w:t>
      </w:r>
    </w:p>
    <w:p w14:paraId="5C979DEB" w14:textId="77777777" w:rsidR="00F53AB1" w:rsidRPr="00A85FEA" w:rsidRDefault="00F53AB1" w:rsidP="00D87929">
      <w:pPr>
        <w:rPr>
          <w:rFonts w:cs="Arial"/>
          <w:szCs w:val="22"/>
        </w:rPr>
      </w:pPr>
    </w:p>
    <w:p w14:paraId="3F921E42" w14:textId="77777777" w:rsidR="00F53AB1" w:rsidRPr="00A85FEA" w:rsidRDefault="00F53AB1" w:rsidP="00D87929">
      <w:pPr>
        <w:rPr>
          <w:rFonts w:cs="Arial"/>
          <w:szCs w:val="22"/>
        </w:rPr>
      </w:pPr>
    </w:p>
    <w:p w14:paraId="639F944E" w14:textId="77777777" w:rsidR="00F53AB1" w:rsidRPr="00A85FEA" w:rsidRDefault="00F53AB1" w:rsidP="00D87929">
      <w:pPr>
        <w:rPr>
          <w:rFonts w:cs="Arial"/>
          <w:szCs w:val="22"/>
        </w:rPr>
      </w:pPr>
      <w:r w:rsidRPr="00A85FEA">
        <w:rPr>
          <w:rFonts w:cs="Arial"/>
          <w:szCs w:val="22"/>
        </w:rPr>
        <w:t xml:space="preserve">5.2.4. Comparabilidad </w:t>
      </w:r>
    </w:p>
    <w:p w14:paraId="7C09555D" w14:textId="77777777" w:rsidR="00F53AB1" w:rsidRPr="00A85FEA" w:rsidRDefault="00F53AB1" w:rsidP="00D87929">
      <w:pPr>
        <w:rPr>
          <w:rFonts w:cs="Arial"/>
          <w:szCs w:val="22"/>
        </w:rPr>
      </w:pPr>
    </w:p>
    <w:p w14:paraId="0D1CD99C" w14:textId="77777777" w:rsidR="00F53AB1" w:rsidRPr="00A85FEA" w:rsidRDefault="00F53AB1" w:rsidP="00E55B29">
      <w:pPr>
        <w:jc w:val="both"/>
        <w:rPr>
          <w:rFonts w:cs="Arial"/>
          <w:szCs w:val="22"/>
        </w:rPr>
      </w:pPr>
      <w:r w:rsidRPr="00A85FEA">
        <w:rPr>
          <w:rFonts w:cs="Arial"/>
          <w:szCs w:val="22"/>
        </w:rPr>
        <w:t xml:space="preserve">La comparabilidad es la característica cualitativa que permite a los usuarios identificar y comprender similitudes y diferencias entre partidas. Para que la información financiera sea comparable, elementos similares deben verse parecidos y elementos distintos deben verse diferentes. La comparabilidad de la información financiera no se mejora al mostrar elementos diferentes como similares ni viceversa. La información es más útil si puede compararse con información de la misma entidad de periodos anteriores y con información similar de otras entidades. La aplicación de criterios uniformes contribuye a que la información sea comparable. Sin embargo, cuando un cambio en un criterio mejora la representación fiel, es necesario revelar esta circunstancia de tal manera que permita a los usuarios identificar los efectos producto del cambio y realizar los análisis comparativos correspondientes. </w:t>
      </w:r>
    </w:p>
    <w:p w14:paraId="26D4DCDC" w14:textId="77777777" w:rsidR="00F53AB1" w:rsidRPr="00A85FEA" w:rsidRDefault="00F53AB1" w:rsidP="00E25092">
      <w:pPr>
        <w:pStyle w:val="Ttulo1"/>
        <w:rPr>
          <w:rFonts w:ascii="Arial" w:hAnsi="Arial" w:cs="Arial"/>
          <w:color w:val="auto"/>
          <w:sz w:val="22"/>
          <w:szCs w:val="22"/>
        </w:rPr>
      </w:pPr>
      <w:bookmarkStart w:id="32" w:name="_Toc525721332"/>
      <w:r w:rsidRPr="00A85FEA">
        <w:rPr>
          <w:rFonts w:ascii="Arial" w:hAnsi="Arial" w:cs="Arial"/>
          <w:color w:val="auto"/>
          <w:sz w:val="22"/>
          <w:szCs w:val="22"/>
        </w:rPr>
        <w:t>6. PRINCIPIOS DE CONTABILIDAD PÚBLICA</w:t>
      </w:r>
      <w:bookmarkEnd w:id="32"/>
      <w:r w:rsidRPr="00A85FEA">
        <w:rPr>
          <w:rFonts w:ascii="Arial" w:hAnsi="Arial" w:cs="Arial"/>
          <w:color w:val="auto"/>
          <w:sz w:val="22"/>
          <w:szCs w:val="22"/>
        </w:rPr>
        <w:t xml:space="preserve"> </w:t>
      </w:r>
    </w:p>
    <w:p w14:paraId="4F29BDAF" w14:textId="77777777" w:rsidR="00F53AB1" w:rsidRPr="00A85FEA" w:rsidRDefault="00F53AB1" w:rsidP="00D87929">
      <w:pPr>
        <w:rPr>
          <w:rFonts w:cs="Arial"/>
          <w:szCs w:val="22"/>
        </w:rPr>
      </w:pPr>
    </w:p>
    <w:p w14:paraId="0F5ED3A5" w14:textId="77777777" w:rsidR="00F53AB1" w:rsidRPr="00A85FEA" w:rsidRDefault="00F53AB1" w:rsidP="00E55B29">
      <w:pPr>
        <w:jc w:val="both"/>
        <w:rPr>
          <w:rFonts w:cs="Arial"/>
          <w:szCs w:val="22"/>
        </w:rPr>
      </w:pPr>
      <w:r w:rsidRPr="00A85FEA">
        <w:rPr>
          <w:rFonts w:cs="Arial"/>
          <w:szCs w:val="22"/>
        </w:rPr>
        <w:lastRenderedPageBreak/>
        <w:t xml:space="preserve">La información financiera de las entidades debe ser útil y para que sea útil, debe ser relevante y representar fielmente los hechos económicos. A fin de preparar información financiera que cumpla con estas características cualitativas, las entidades observan pautas básicas o macro-reglas que orientan el proceso contable, las cuales se conocen como principios de contabilidad. Los principios de contabilidad se aplican en las diferentes etapas del proceso contable; por tal razón, hacen referencia a los criterios que se deben tener en cuenta para reconocer, medir, revelar y presentar los hechos económicos en los estados financieros de la entidad. Los principios de contabilidad que observarán las entidades en la preparación de los estados financieros de propósito general son: Entidad en marcha, Devengo, Esencia sobre forma, Asociación, Uniformidad, No compensación y Periodo contable. </w:t>
      </w:r>
    </w:p>
    <w:p w14:paraId="43EA1817" w14:textId="77777777" w:rsidR="00F53AB1" w:rsidRPr="00A85FEA" w:rsidRDefault="00F53AB1" w:rsidP="00E25092">
      <w:pPr>
        <w:pStyle w:val="Ttulo1"/>
        <w:rPr>
          <w:rFonts w:ascii="Arial" w:hAnsi="Arial" w:cs="Arial"/>
          <w:color w:val="auto"/>
          <w:sz w:val="22"/>
          <w:szCs w:val="22"/>
        </w:rPr>
      </w:pPr>
      <w:bookmarkStart w:id="33" w:name="_Toc525721333"/>
      <w:r w:rsidRPr="00A85FEA">
        <w:rPr>
          <w:rFonts w:ascii="Arial" w:hAnsi="Arial" w:cs="Arial"/>
          <w:color w:val="auto"/>
          <w:sz w:val="22"/>
          <w:szCs w:val="22"/>
        </w:rPr>
        <w:t>6.1. Entidad en marcha</w:t>
      </w:r>
      <w:bookmarkEnd w:id="33"/>
    </w:p>
    <w:p w14:paraId="06AAF836" w14:textId="77777777" w:rsidR="00F53AB1" w:rsidRPr="00A85FEA" w:rsidRDefault="00F53AB1" w:rsidP="00D87929">
      <w:pPr>
        <w:rPr>
          <w:rFonts w:cs="Arial"/>
          <w:szCs w:val="22"/>
        </w:rPr>
      </w:pPr>
    </w:p>
    <w:p w14:paraId="6800D887" w14:textId="77777777" w:rsidR="00F53AB1" w:rsidRPr="00A85FEA" w:rsidRDefault="00F53AB1" w:rsidP="00E55B29">
      <w:pPr>
        <w:jc w:val="both"/>
        <w:rPr>
          <w:rFonts w:cs="Arial"/>
          <w:szCs w:val="22"/>
        </w:rPr>
      </w:pPr>
      <w:r w:rsidRPr="00A85FEA">
        <w:rPr>
          <w:rFonts w:cs="Arial"/>
          <w:szCs w:val="22"/>
        </w:rPr>
        <w:t xml:space="preserve">Se presume que la actividad de la entidad se lleva a cabo por tiempo indefinido conforme a la ley o acto de creación; por tal razón, la regulación contable no está encaminada a determinar su valor de liquidación. Si por circunstancias exógenas o endógenas se producen situaciones de transformación o liquidación de una entidad, se deben observar los criterios que se definan para tal efecto. </w:t>
      </w:r>
    </w:p>
    <w:p w14:paraId="037F93A1" w14:textId="77777777" w:rsidR="00F53AB1" w:rsidRPr="00A85FEA" w:rsidRDefault="00F53AB1" w:rsidP="00E25092">
      <w:pPr>
        <w:pStyle w:val="Ttulo1"/>
        <w:rPr>
          <w:rFonts w:ascii="Arial" w:hAnsi="Arial" w:cs="Arial"/>
          <w:color w:val="auto"/>
          <w:sz w:val="22"/>
          <w:szCs w:val="22"/>
        </w:rPr>
      </w:pPr>
      <w:bookmarkStart w:id="34" w:name="_Toc525721334"/>
      <w:r w:rsidRPr="00A85FEA">
        <w:rPr>
          <w:rFonts w:ascii="Arial" w:hAnsi="Arial" w:cs="Arial"/>
          <w:color w:val="auto"/>
          <w:sz w:val="22"/>
          <w:szCs w:val="22"/>
        </w:rPr>
        <w:t>6.2. Devengo</w:t>
      </w:r>
      <w:bookmarkEnd w:id="34"/>
    </w:p>
    <w:p w14:paraId="504F4022" w14:textId="77777777" w:rsidR="00F53AB1" w:rsidRPr="00A85FEA" w:rsidRDefault="00F53AB1" w:rsidP="00D87929">
      <w:pPr>
        <w:rPr>
          <w:rFonts w:cs="Arial"/>
          <w:szCs w:val="22"/>
        </w:rPr>
      </w:pPr>
    </w:p>
    <w:p w14:paraId="0B5C3E7B" w14:textId="77777777" w:rsidR="00F53AB1" w:rsidRPr="00A85FEA" w:rsidRDefault="00F53AB1" w:rsidP="00E55B29">
      <w:pPr>
        <w:jc w:val="both"/>
        <w:rPr>
          <w:rFonts w:cs="Arial"/>
          <w:szCs w:val="22"/>
        </w:rPr>
      </w:pPr>
      <w:r w:rsidRPr="00A85FEA">
        <w:rPr>
          <w:rFonts w:cs="Arial"/>
          <w:szCs w:val="22"/>
        </w:rPr>
        <w:t xml:space="preserve">Los hechos económicos se reconocen en el momento en que suceden, con independencia del instante en que se produce el flujo de efectivo o equivalentes al efectivo que se deriva de estos, es decir, el reconocimiento se efectúa cuando surgen los derechos y obligaciones, o cuando la transacción u operación originada por el hecho incide en los resultados del periodo. </w:t>
      </w:r>
    </w:p>
    <w:p w14:paraId="6CD5BE43" w14:textId="77777777" w:rsidR="00F53AB1" w:rsidRPr="00A85FEA" w:rsidRDefault="00F53AB1" w:rsidP="00E25092">
      <w:pPr>
        <w:pStyle w:val="Ttulo1"/>
        <w:rPr>
          <w:rFonts w:ascii="Arial" w:hAnsi="Arial" w:cs="Arial"/>
          <w:color w:val="auto"/>
          <w:sz w:val="22"/>
          <w:szCs w:val="22"/>
        </w:rPr>
      </w:pPr>
      <w:bookmarkStart w:id="35" w:name="_Toc525721335"/>
      <w:r w:rsidRPr="00A85FEA">
        <w:rPr>
          <w:rFonts w:ascii="Arial" w:hAnsi="Arial" w:cs="Arial"/>
          <w:color w:val="auto"/>
          <w:sz w:val="22"/>
          <w:szCs w:val="22"/>
        </w:rPr>
        <w:t>6.3. Esencia sobre forma</w:t>
      </w:r>
      <w:bookmarkEnd w:id="35"/>
    </w:p>
    <w:p w14:paraId="5EF0F86A" w14:textId="77777777" w:rsidR="00F53AB1" w:rsidRPr="00A85FEA" w:rsidRDefault="00F53AB1" w:rsidP="00D87929">
      <w:pPr>
        <w:rPr>
          <w:rFonts w:cs="Arial"/>
          <w:szCs w:val="22"/>
        </w:rPr>
      </w:pPr>
    </w:p>
    <w:p w14:paraId="5D76DFE2" w14:textId="77777777" w:rsidR="00F53AB1" w:rsidRPr="00A85FEA" w:rsidRDefault="00F53AB1" w:rsidP="00E55B29">
      <w:pPr>
        <w:jc w:val="both"/>
        <w:rPr>
          <w:rFonts w:cs="Arial"/>
          <w:szCs w:val="22"/>
        </w:rPr>
      </w:pPr>
      <w:r w:rsidRPr="00A85FEA">
        <w:rPr>
          <w:rFonts w:cs="Arial"/>
          <w:szCs w:val="22"/>
        </w:rPr>
        <w:t xml:space="preserve">Las transacciones y otros hechos económicos de las entidades se reconocen atendiendo a su esencia económica, independientemente de la forma legal que da origen a los mismos. </w:t>
      </w:r>
    </w:p>
    <w:p w14:paraId="3477D817" w14:textId="77777777" w:rsidR="00F53AB1" w:rsidRPr="00A85FEA" w:rsidRDefault="00F53AB1" w:rsidP="00E25092">
      <w:pPr>
        <w:pStyle w:val="Ttulo1"/>
        <w:rPr>
          <w:rFonts w:ascii="Arial" w:hAnsi="Arial" w:cs="Arial"/>
          <w:color w:val="auto"/>
          <w:sz w:val="22"/>
          <w:szCs w:val="22"/>
        </w:rPr>
      </w:pPr>
      <w:bookmarkStart w:id="36" w:name="_Toc525721336"/>
      <w:r w:rsidRPr="00A85FEA">
        <w:rPr>
          <w:rFonts w:ascii="Arial" w:hAnsi="Arial" w:cs="Arial"/>
          <w:color w:val="auto"/>
          <w:sz w:val="22"/>
          <w:szCs w:val="22"/>
        </w:rPr>
        <w:t>6.4. Asociación</w:t>
      </w:r>
      <w:bookmarkEnd w:id="36"/>
    </w:p>
    <w:p w14:paraId="74A9AEE9" w14:textId="77777777" w:rsidR="00F53AB1" w:rsidRPr="00A85FEA" w:rsidRDefault="00F53AB1" w:rsidP="00D87929">
      <w:pPr>
        <w:rPr>
          <w:rFonts w:cs="Arial"/>
          <w:szCs w:val="22"/>
        </w:rPr>
      </w:pPr>
    </w:p>
    <w:p w14:paraId="2CA82891" w14:textId="77777777" w:rsidR="00F53AB1" w:rsidRPr="00A85FEA" w:rsidRDefault="00F53AB1" w:rsidP="00E55B29">
      <w:pPr>
        <w:jc w:val="both"/>
        <w:rPr>
          <w:rFonts w:cs="Arial"/>
          <w:szCs w:val="22"/>
        </w:rPr>
      </w:pPr>
      <w:r w:rsidRPr="00A85FEA">
        <w:rPr>
          <w:rFonts w:cs="Arial"/>
          <w:szCs w:val="22"/>
        </w:rPr>
        <w:t xml:space="preserve">El reconocimiento de los ingresos con contraprestación está asociado con los costos y gastos en los que se incurre para producir tales ingresos. </w:t>
      </w:r>
    </w:p>
    <w:p w14:paraId="4A290955" w14:textId="77777777" w:rsidR="00F53AB1" w:rsidRPr="00A85FEA" w:rsidRDefault="00F53AB1" w:rsidP="00E25092">
      <w:pPr>
        <w:pStyle w:val="Ttulo1"/>
        <w:rPr>
          <w:rFonts w:ascii="Arial" w:hAnsi="Arial" w:cs="Arial"/>
          <w:color w:val="auto"/>
          <w:sz w:val="22"/>
          <w:szCs w:val="22"/>
        </w:rPr>
      </w:pPr>
      <w:bookmarkStart w:id="37" w:name="_Toc525721337"/>
      <w:r w:rsidRPr="00A85FEA">
        <w:rPr>
          <w:rFonts w:ascii="Arial" w:hAnsi="Arial" w:cs="Arial"/>
          <w:color w:val="auto"/>
          <w:sz w:val="22"/>
          <w:szCs w:val="22"/>
        </w:rPr>
        <w:lastRenderedPageBreak/>
        <w:t>6.5. Uniformidad</w:t>
      </w:r>
      <w:bookmarkEnd w:id="37"/>
    </w:p>
    <w:p w14:paraId="2357E6BC" w14:textId="77777777" w:rsidR="00F53AB1" w:rsidRPr="00A85FEA" w:rsidRDefault="00F53AB1" w:rsidP="00D87929">
      <w:pPr>
        <w:rPr>
          <w:rFonts w:cs="Arial"/>
          <w:szCs w:val="22"/>
        </w:rPr>
      </w:pPr>
    </w:p>
    <w:p w14:paraId="7E3B8080" w14:textId="77777777" w:rsidR="00F53AB1" w:rsidRPr="00A85FEA" w:rsidRDefault="00F53AB1" w:rsidP="00E55B29">
      <w:pPr>
        <w:jc w:val="both"/>
        <w:rPr>
          <w:rFonts w:cs="Arial"/>
          <w:szCs w:val="22"/>
        </w:rPr>
      </w:pPr>
      <w:r w:rsidRPr="00A85FEA">
        <w:rPr>
          <w:rFonts w:cs="Arial"/>
          <w:szCs w:val="22"/>
        </w:rPr>
        <w:t xml:space="preserve">Los criterios de reconocimiento, medición, revelación y presentación, se mantienen en el tiempo y se aplican a los elementos de los estados financieros que tienen las mismas características, en tanto no cambien los supuestos que motivaron su elección. Si se justifica un cambio en la aplicación de tales criterios para mejorar la relevancia y la representación fiel, la entidad debe revelar los impactos de dichos cambios, de acuerdo con lo establecido en las Normas. </w:t>
      </w:r>
    </w:p>
    <w:p w14:paraId="4BBDB645" w14:textId="77777777" w:rsidR="00F53AB1" w:rsidRPr="00A85FEA" w:rsidRDefault="00F53AB1" w:rsidP="00E25092">
      <w:pPr>
        <w:pStyle w:val="Ttulo1"/>
        <w:rPr>
          <w:rFonts w:ascii="Arial" w:hAnsi="Arial" w:cs="Arial"/>
          <w:color w:val="auto"/>
          <w:sz w:val="22"/>
          <w:szCs w:val="22"/>
        </w:rPr>
      </w:pPr>
      <w:bookmarkStart w:id="38" w:name="_Toc525721338"/>
      <w:r w:rsidRPr="00A85FEA">
        <w:rPr>
          <w:rFonts w:ascii="Arial" w:hAnsi="Arial" w:cs="Arial"/>
          <w:color w:val="auto"/>
          <w:sz w:val="22"/>
          <w:szCs w:val="22"/>
        </w:rPr>
        <w:t>6.6. No compensación</w:t>
      </w:r>
      <w:bookmarkEnd w:id="38"/>
    </w:p>
    <w:p w14:paraId="48065400" w14:textId="77777777" w:rsidR="00F53AB1" w:rsidRPr="00A85FEA" w:rsidRDefault="00F53AB1" w:rsidP="00D87929">
      <w:pPr>
        <w:rPr>
          <w:rFonts w:cs="Arial"/>
          <w:szCs w:val="22"/>
        </w:rPr>
      </w:pPr>
    </w:p>
    <w:p w14:paraId="35D16329" w14:textId="77777777" w:rsidR="00F53AB1" w:rsidRPr="00A85FEA" w:rsidRDefault="00F53AB1" w:rsidP="00E55B29">
      <w:pPr>
        <w:jc w:val="both"/>
        <w:rPr>
          <w:rFonts w:cs="Arial"/>
          <w:szCs w:val="22"/>
        </w:rPr>
      </w:pPr>
      <w:r w:rsidRPr="00A85FEA">
        <w:rPr>
          <w:rFonts w:cs="Arial"/>
          <w:szCs w:val="22"/>
        </w:rPr>
        <w:t xml:space="preserve">No se reconocen ni se presentan partidas netas como efecto de compensar activos y pasivos del estado de situación financiera, o ingresos, gastos y costos que integran el estado de resultados, salvo en aquellos casos en que, de forma excepcional, así se regule. </w:t>
      </w:r>
    </w:p>
    <w:p w14:paraId="3CD5E998" w14:textId="77777777" w:rsidR="00F53AB1" w:rsidRPr="00A85FEA" w:rsidRDefault="00F53AB1" w:rsidP="00E25092">
      <w:pPr>
        <w:pStyle w:val="Ttulo1"/>
        <w:rPr>
          <w:rFonts w:ascii="Arial" w:hAnsi="Arial" w:cs="Arial"/>
          <w:color w:val="auto"/>
          <w:sz w:val="22"/>
          <w:szCs w:val="22"/>
        </w:rPr>
      </w:pPr>
      <w:bookmarkStart w:id="39" w:name="_Toc525721339"/>
      <w:r w:rsidRPr="00A85FEA">
        <w:rPr>
          <w:rFonts w:ascii="Arial" w:hAnsi="Arial" w:cs="Arial"/>
          <w:color w:val="auto"/>
          <w:sz w:val="22"/>
          <w:szCs w:val="22"/>
        </w:rPr>
        <w:t>6.7. Periodo contable</w:t>
      </w:r>
      <w:bookmarkEnd w:id="39"/>
    </w:p>
    <w:p w14:paraId="756F53EB" w14:textId="77777777" w:rsidR="00F53AB1" w:rsidRPr="00A85FEA" w:rsidRDefault="00F53AB1" w:rsidP="00D87929">
      <w:pPr>
        <w:rPr>
          <w:rFonts w:cs="Arial"/>
          <w:szCs w:val="22"/>
        </w:rPr>
      </w:pPr>
    </w:p>
    <w:p w14:paraId="4AF34732" w14:textId="77777777" w:rsidR="00F53AB1" w:rsidRPr="00A85FEA" w:rsidRDefault="00F53AB1" w:rsidP="00E55B29">
      <w:pPr>
        <w:jc w:val="both"/>
        <w:rPr>
          <w:rFonts w:cs="Arial"/>
          <w:szCs w:val="22"/>
        </w:rPr>
      </w:pPr>
      <w:r w:rsidRPr="00A85FEA">
        <w:rPr>
          <w:rFonts w:cs="Arial"/>
          <w:szCs w:val="22"/>
        </w:rPr>
        <w:t>Corresponde al tiempo máximo en que la entidad mide los resultados de sus hechos económicos y el patrimonio bajo su control, efectuando las operaciones contables de ajustes y cierre. El periodo contable es el lapso transcurrido entre el 1 de enero y el 31 de diciembre. No obstante, se pueden solicitar estados financieros intermedios e informes y reportes contables para propósitos especiales, de acuerdo con las necesidades o requerimientos de las autoridades competentes sin que esto signifique, necesariamente, la ejecución de un cierre.</w:t>
      </w:r>
    </w:p>
    <w:p w14:paraId="71FF277F" w14:textId="77777777" w:rsidR="00F53AB1" w:rsidRPr="00A85FEA" w:rsidRDefault="00F53AB1" w:rsidP="00D87929">
      <w:pPr>
        <w:rPr>
          <w:rFonts w:cs="Arial"/>
          <w:szCs w:val="22"/>
        </w:rPr>
      </w:pPr>
    </w:p>
    <w:p w14:paraId="649B2746" w14:textId="77777777" w:rsidR="00F53AB1" w:rsidRPr="00A85FEA" w:rsidRDefault="00F53AB1" w:rsidP="007D4AC1">
      <w:pPr>
        <w:jc w:val="both"/>
        <w:rPr>
          <w:rFonts w:cs="Arial"/>
          <w:szCs w:val="22"/>
        </w:rPr>
      </w:pPr>
      <w:r w:rsidRPr="00A85FEA">
        <w:rPr>
          <w:rFonts w:cs="Arial"/>
          <w:szCs w:val="22"/>
        </w:rPr>
        <w:t>En caso de conflicto entre los anteriores principios contables, prevalecerá el principio que mejor conduzca a la representación fiel y relevancia de la información financiera de la entidad.</w:t>
      </w:r>
    </w:p>
    <w:p w14:paraId="2F3E9740" w14:textId="77777777" w:rsidR="00F53AB1" w:rsidRPr="00A85FEA" w:rsidRDefault="00F53AB1" w:rsidP="00D87929">
      <w:pPr>
        <w:rPr>
          <w:rFonts w:cs="Arial"/>
          <w:szCs w:val="22"/>
        </w:rPr>
      </w:pPr>
    </w:p>
    <w:p w14:paraId="0F3D3E88" w14:textId="77777777" w:rsidR="00F53AB1" w:rsidRPr="00A85FEA" w:rsidRDefault="00F53AB1" w:rsidP="00E25092">
      <w:pPr>
        <w:pStyle w:val="Ttulo1"/>
        <w:rPr>
          <w:rFonts w:ascii="Arial" w:hAnsi="Arial" w:cs="Arial"/>
          <w:color w:val="auto"/>
          <w:sz w:val="22"/>
          <w:szCs w:val="22"/>
        </w:rPr>
      </w:pPr>
      <w:bookmarkStart w:id="40" w:name="_Toc525721340"/>
      <w:r w:rsidRPr="00A85FEA">
        <w:rPr>
          <w:rFonts w:ascii="Arial" w:hAnsi="Arial" w:cs="Arial"/>
          <w:color w:val="auto"/>
          <w:sz w:val="22"/>
          <w:szCs w:val="22"/>
        </w:rPr>
        <w:t>7. DEFINICIÓN DE LOS ELEMENTOS DE LOS ESTADOS FINANCIEROS</w:t>
      </w:r>
      <w:bookmarkEnd w:id="40"/>
      <w:r w:rsidRPr="00A85FEA">
        <w:rPr>
          <w:rFonts w:ascii="Arial" w:hAnsi="Arial" w:cs="Arial"/>
          <w:color w:val="auto"/>
          <w:sz w:val="22"/>
          <w:szCs w:val="22"/>
        </w:rPr>
        <w:t xml:space="preserve"> </w:t>
      </w:r>
    </w:p>
    <w:p w14:paraId="3B949770" w14:textId="77777777" w:rsidR="00F53AB1" w:rsidRPr="00A85FEA" w:rsidRDefault="00F53AB1" w:rsidP="00D87929">
      <w:pPr>
        <w:rPr>
          <w:rFonts w:cs="Arial"/>
          <w:szCs w:val="22"/>
        </w:rPr>
      </w:pPr>
    </w:p>
    <w:p w14:paraId="4E8267B9" w14:textId="77777777" w:rsidR="00F53AB1" w:rsidRPr="00A85FEA" w:rsidRDefault="00F53AB1" w:rsidP="007D4AC1">
      <w:pPr>
        <w:jc w:val="both"/>
        <w:rPr>
          <w:rFonts w:cs="Arial"/>
          <w:szCs w:val="22"/>
        </w:rPr>
      </w:pPr>
      <w:r w:rsidRPr="00A85FEA">
        <w:rPr>
          <w:rFonts w:cs="Arial"/>
          <w:szCs w:val="22"/>
        </w:rPr>
        <w:t xml:space="preserve">Los estados financieros representan los efectos de las transacciones y otros sucesos agrupados en categorías que comparten características económicas comunes y que corresponden a los elementos de los estados financieros. Los elementos relacionados directamente con la medida de la situación financiera son los activos, los pasivos y el patrimonio. Los elementos directamente relacionados con la medida del rendimiento financiero son los ingresos, los gastos y los costos. </w:t>
      </w:r>
    </w:p>
    <w:p w14:paraId="7BD1FB58" w14:textId="77777777" w:rsidR="00F53AB1" w:rsidRPr="00A85FEA" w:rsidRDefault="00F53AB1" w:rsidP="00E25092">
      <w:pPr>
        <w:pStyle w:val="Ttulo1"/>
        <w:rPr>
          <w:rFonts w:ascii="Arial" w:hAnsi="Arial" w:cs="Arial"/>
          <w:color w:val="auto"/>
          <w:sz w:val="22"/>
          <w:szCs w:val="22"/>
        </w:rPr>
      </w:pPr>
      <w:bookmarkStart w:id="41" w:name="_Toc525721341"/>
      <w:r w:rsidRPr="00A85FEA">
        <w:rPr>
          <w:rFonts w:ascii="Arial" w:hAnsi="Arial" w:cs="Arial"/>
          <w:color w:val="auto"/>
          <w:sz w:val="22"/>
          <w:szCs w:val="22"/>
        </w:rPr>
        <w:lastRenderedPageBreak/>
        <w:t>7.1. Activos</w:t>
      </w:r>
      <w:bookmarkEnd w:id="41"/>
      <w:r w:rsidRPr="00A85FEA">
        <w:rPr>
          <w:rFonts w:ascii="Arial" w:hAnsi="Arial" w:cs="Arial"/>
          <w:color w:val="auto"/>
          <w:sz w:val="22"/>
          <w:szCs w:val="22"/>
        </w:rPr>
        <w:t xml:space="preserve"> </w:t>
      </w:r>
    </w:p>
    <w:p w14:paraId="41A468B0" w14:textId="77777777" w:rsidR="00F53AB1" w:rsidRPr="00A85FEA" w:rsidRDefault="00F53AB1" w:rsidP="00D87929">
      <w:pPr>
        <w:rPr>
          <w:rFonts w:cs="Arial"/>
          <w:szCs w:val="22"/>
        </w:rPr>
      </w:pPr>
    </w:p>
    <w:p w14:paraId="5B50FC61" w14:textId="77777777" w:rsidR="00F53AB1" w:rsidRPr="00A85FEA" w:rsidRDefault="00F53AB1" w:rsidP="007D4AC1">
      <w:pPr>
        <w:jc w:val="both"/>
        <w:rPr>
          <w:rFonts w:cs="Arial"/>
          <w:szCs w:val="22"/>
        </w:rPr>
      </w:pPr>
      <w:r w:rsidRPr="00A85FEA">
        <w:rPr>
          <w:rFonts w:cs="Arial"/>
          <w:szCs w:val="22"/>
        </w:rPr>
        <w:t>Los activos son recursos controlados por la entidad que resultan de un evento pasado y de los cuales se espera obtener un potencial de servicio o generar beneficios económicos futuros. Un recurso controlado es un elemento que otorga, entre otros, un derecho a:</w:t>
      </w:r>
    </w:p>
    <w:p w14:paraId="4CEF0A47" w14:textId="77777777" w:rsidR="00F53AB1" w:rsidRPr="00A85FEA" w:rsidRDefault="00F53AB1" w:rsidP="007D4AC1">
      <w:pPr>
        <w:jc w:val="both"/>
        <w:rPr>
          <w:rFonts w:cs="Arial"/>
          <w:szCs w:val="22"/>
        </w:rPr>
      </w:pPr>
    </w:p>
    <w:p w14:paraId="096A14FF" w14:textId="77777777" w:rsidR="00F53AB1" w:rsidRPr="00A85FEA" w:rsidRDefault="00E25092" w:rsidP="007D4AC1">
      <w:pPr>
        <w:jc w:val="both"/>
        <w:rPr>
          <w:rFonts w:cs="Arial"/>
          <w:szCs w:val="22"/>
        </w:rPr>
      </w:pPr>
      <w:r w:rsidRPr="00A85FEA">
        <w:rPr>
          <w:rFonts w:cs="Arial"/>
          <w:szCs w:val="22"/>
        </w:rPr>
        <w:t>Usar</w:t>
      </w:r>
      <w:r w:rsidR="00F53AB1" w:rsidRPr="00A85FEA">
        <w:rPr>
          <w:rFonts w:cs="Arial"/>
          <w:szCs w:val="22"/>
        </w:rPr>
        <w:t xml:space="preserve"> un bien para prestar servicios, </w:t>
      </w:r>
    </w:p>
    <w:p w14:paraId="45B42DE3" w14:textId="77777777" w:rsidR="00F53AB1" w:rsidRPr="00A85FEA" w:rsidRDefault="00E25092" w:rsidP="007D4AC1">
      <w:pPr>
        <w:jc w:val="both"/>
        <w:rPr>
          <w:rFonts w:cs="Arial"/>
          <w:szCs w:val="22"/>
        </w:rPr>
      </w:pPr>
      <w:r w:rsidRPr="00A85FEA">
        <w:rPr>
          <w:rFonts w:cs="Arial"/>
          <w:szCs w:val="22"/>
        </w:rPr>
        <w:t>Ceder</w:t>
      </w:r>
      <w:r w:rsidR="00F53AB1" w:rsidRPr="00A85FEA">
        <w:rPr>
          <w:rFonts w:cs="Arial"/>
          <w:szCs w:val="22"/>
        </w:rPr>
        <w:t xml:space="preserve"> el uso para que un tercero preste un servicio, </w:t>
      </w:r>
    </w:p>
    <w:p w14:paraId="2C514099" w14:textId="77777777" w:rsidR="00F53AB1" w:rsidRPr="00A85FEA" w:rsidRDefault="00E25092" w:rsidP="007D4AC1">
      <w:pPr>
        <w:jc w:val="both"/>
        <w:rPr>
          <w:rFonts w:cs="Arial"/>
          <w:szCs w:val="22"/>
        </w:rPr>
      </w:pPr>
      <w:r w:rsidRPr="00A85FEA">
        <w:rPr>
          <w:rFonts w:cs="Arial"/>
          <w:szCs w:val="22"/>
        </w:rPr>
        <w:t>Convertir</w:t>
      </w:r>
      <w:r w:rsidR="00F53AB1" w:rsidRPr="00A85FEA">
        <w:rPr>
          <w:rFonts w:cs="Arial"/>
          <w:szCs w:val="22"/>
        </w:rPr>
        <w:t xml:space="preserve"> el recurso en efectivo a través de su disposición, </w:t>
      </w:r>
    </w:p>
    <w:p w14:paraId="4427ECF9" w14:textId="77777777" w:rsidR="00F53AB1" w:rsidRPr="00A85FEA" w:rsidRDefault="00E25092" w:rsidP="007D4AC1">
      <w:pPr>
        <w:jc w:val="both"/>
        <w:rPr>
          <w:rFonts w:cs="Arial"/>
          <w:szCs w:val="22"/>
        </w:rPr>
      </w:pPr>
      <w:r w:rsidRPr="00A85FEA">
        <w:rPr>
          <w:rFonts w:cs="Arial"/>
          <w:szCs w:val="22"/>
        </w:rPr>
        <w:t>Beneficiarse</w:t>
      </w:r>
      <w:r w:rsidR="00F53AB1" w:rsidRPr="00A85FEA">
        <w:rPr>
          <w:rFonts w:cs="Arial"/>
          <w:szCs w:val="22"/>
        </w:rPr>
        <w:t xml:space="preserve"> de la revalorización de los recursos, o </w:t>
      </w:r>
    </w:p>
    <w:p w14:paraId="4ABAD98F" w14:textId="77777777" w:rsidR="00F53AB1" w:rsidRPr="00A85FEA" w:rsidRDefault="00E25092" w:rsidP="007D4AC1">
      <w:pPr>
        <w:jc w:val="both"/>
        <w:rPr>
          <w:rFonts w:cs="Arial"/>
          <w:szCs w:val="22"/>
        </w:rPr>
      </w:pPr>
      <w:r w:rsidRPr="00A85FEA">
        <w:rPr>
          <w:rFonts w:cs="Arial"/>
          <w:szCs w:val="22"/>
        </w:rPr>
        <w:t>Recibir</w:t>
      </w:r>
      <w:r w:rsidR="00F53AB1" w:rsidRPr="00A85FEA">
        <w:rPr>
          <w:rFonts w:cs="Arial"/>
          <w:szCs w:val="22"/>
        </w:rPr>
        <w:t xml:space="preserve"> una corriente de flujos de efectivo. </w:t>
      </w:r>
    </w:p>
    <w:p w14:paraId="7D391943" w14:textId="77777777" w:rsidR="00F53AB1" w:rsidRPr="00A85FEA" w:rsidRDefault="00F53AB1" w:rsidP="007D4AC1">
      <w:pPr>
        <w:jc w:val="both"/>
        <w:rPr>
          <w:rFonts w:cs="Arial"/>
          <w:szCs w:val="22"/>
        </w:rPr>
      </w:pPr>
    </w:p>
    <w:p w14:paraId="128B2923" w14:textId="77777777" w:rsidR="00F53AB1" w:rsidRPr="00A85FEA" w:rsidRDefault="00F53AB1" w:rsidP="00E25092">
      <w:pPr>
        <w:jc w:val="both"/>
        <w:rPr>
          <w:rFonts w:cs="Arial"/>
          <w:szCs w:val="22"/>
        </w:rPr>
      </w:pPr>
      <w:r w:rsidRPr="00A85FEA">
        <w:rPr>
          <w:rFonts w:cs="Arial"/>
          <w:szCs w:val="22"/>
        </w:rPr>
        <w:t xml:space="preserve">El control implica la capacidad de la entidad para usar un recurso o definir el uso que un tercero debe darle, para obtener potencial de servicio o para generar beneficios económicos futuros. Al evaluar si existe o no control sobre un recurso, una entidad debe tener en cuenta, entre otros aspectos: la titularidad legal, el acceso al recurso o la capacidad de un tercero para negar o restringir su uso, la forma de garantizar que el recurso se use para los fines previstos y la existencia de un derecho exigible sobre el potencial de servicio o sobre la capacidad de generar beneficios económicos derivados del recurso. </w:t>
      </w:r>
    </w:p>
    <w:p w14:paraId="7FB5D8B0" w14:textId="77777777" w:rsidR="00F53AB1" w:rsidRPr="00A85FEA" w:rsidRDefault="00F53AB1" w:rsidP="00D87929">
      <w:pPr>
        <w:rPr>
          <w:rFonts w:cs="Arial"/>
          <w:szCs w:val="22"/>
        </w:rPr>
      </w:pPr>
    </w:p>
    <w:p w14:paraId="7E46C1E2" w14:textId="77777777" w:rsidR="00F53AB1" w:rsidRPr="00A85FEA" w:rsidRDefault="00F53AB1" w:rsidP="00E25092">
      <w:pPr>
        <w:jc w:val="both"/>
        <w:rPr>
          <w:rFonts w:cs="Arial"/>
          <w:szCs w:val="22"/>
        </w:rPr>
      </w:pPr>
      <w:r w:rsidRPr="00A85FEA">
        <w:rPr>
          <w:rFonts w:cs="Arial"/>
          <w:szCs w:val="22"/>
        </w:rPr>
        <w:t xml:space="preserve">En algunas circunstancias, el control del activo es concomitante con la titularidad jurídica del recurso; no obstante, esta última no es esencial a efecto de determinar la existencia del activo y el control sobre este. La titularidad jurídica sobre el activo no necesariamente es suficiente para que se cumplan las condiciones de control. Por ejemplo, una entidad puede ser la dueña jurídica del activo, pero si los riesgos y beneficios asociados al activo se han transferido sustancialmente, dicha entidad no pude reconocer el activo así conserve la titularidad jurídica del mismo. Los eventos pasados que dan origen a un activo pueden ser producto de diferentes sucesos; por ejemplo, una entidad puede obtener activos en una transacción de intercambio, por un desarrollo interno o producto de transacciones sin contraprestación incluidas en el ejercicio del poder soberano. </w:t>
      </w:r>
    </w:p>
    <w:p w14:paraId="7B88F54E" w14:textId="77777777" w:rsidR="00F53AB1" w:rsidRPr="00A85FEA" w:rsidRDefault="00F53AB1" w:rsidP="00E25092">
      <w:pPr>
        <w:jc w:val="both"/>
        <w:rPr>
          <w:rFonts w:cs="Arial"/>
          <w:szCs w:val="22"/>
        </w:rPr>
      </w:pPr>
    </w:p>
    <w:p w14:paraId="5037BB6E" w14:textId="77777777" w:rsidR="00F53AB1" w:rsidRPr="00A85FEA" w:rsidRDefault="00F53AB1" w:rsidP="00E25092">
      <w:pPr>
        <w:jc w:val="both"/>
        <w:rPr>
          <w:rFonts w:cs="Arial"/>
          <w:szCs w:val="22"/>
        </w:rPr>
      </w:pPr>
      <w:r w:rsidRPr="00A85FEA">
        <w:rPr>
          <w:rFonts w:cs="Arial"/>
          <w:szCs w:val="22"/>
        </w:rPr>
        <w:t xml:space="preserve">El control sobre un recurso puede surgir de eventos como: la capacidad general de una entidad para establecer un derecho, el ejercicio del poder a través de una ley que le otorga un derecho a una entidad o el suceso que da lugar al derecho a recibir recursos procedentes de un tercero. Las transacciones o sucesos que se espera ocurran en el futuro no dan lugar por sí mismos a activos; así, por ejemplo, la intención de comprar inventarios no cumple, por sí misma, la definición de activo. </w:t>
      </w:r>
    </w:p>
    <w:p w14:paraId="051E3BD0" w14:textId="77777777" w:rsidR="00F53AB1" w:rsidRPr="00A85FEA" w:rsidRDefault="00F53AB1" w:rsidP="00E25092">
      <w:pPr>
        <w:jc w:val="both"/>
        <w:rPr>
          <w:rFonts w:cs="Arial"/>
          <w:szCs w:val="22"/>
        </w:rPr>
      </w:pPr>
    </w:p>
    <w:p w14:paraId="73E94DA9" w14:textId="77777777" w:rsidR="00F53AB1" w:rsidRPr="00A85FEA" w:rsidRDefault="00F53AB1" w:rsidP="00E25092">
      <w:pPr>
        <w:jc w:val="both"/>
        <w:rPr>
          <w:rFonts w:cs="Arial"/>
          <w:szCs w:val="22"/>
        </w:rPr>
      </w:pPr>
      <w:r w:rsidRPr="00A85FEA">
        <w:rPr>
          <w:rFonts w:cs="Arial"/>
          <w:szCs w:val="22"/>
        </w:rPr>
        <w:t xml:space="preserve">El potencial de servicio de un activo es la capacidad que tiene dicho recurso para prestar servicios que contribuyen a la consecución de los objetivos de la entidad sin generar, necesariamente, flujos de efectivo. </w:t>
      </w:r>
    </w:p>
    <w:p w14:paraId="585547F3" w14:textId="77777777" w:rsidR="00F53AB1" w:rsidRPr="00A85FEA" w:rsidRDefault="00F53AB1" w:rsidP="00E25092">
      <w:pPr>
        <w:jc w:val="both"/>
        <w:rPr>
          <w:rFonts w:cs="Arial"/>
          <w:szCs w:val="22"/>
        </w:rPr>
      </w:pPr>
    </w:p>
    <w:p w14:paraId="5AB62358" w14:textId="77777777" w:rsidR="00F53AB1" w:rsidRPr="00A85FEA" w:rsidRDefault="00F53AB1" w:rsidP="00E25092">
      <w:pPr>
        <w:jc w:val="both"/>
        <w:rPr>
          <w:rFonts w:cs="Arial"/>
          <w:szCs w:val="22"/>
        </w:rPr>
      </w:pPr>
      <w:r w:rsidRPr="00A85FEA">
        <w:rPr>
          <w:rFonts w:cs="Arial"/>
          <w:szCs w:val="22"/>
        </w:rPr>
        <w:lastRenderedPageBreak/>
        <w:t xml:space="preserve">Los beneficios económicos futuros incorporados a un activo son el potencial que tiene dicho activo para contribuir, directa o indirectamente, a generar flujos de efectivo y otros equivalentes al efectivo. Estos beneficios también pueden traducirse en la capacidad que tiene un recurso para reducir los flujos futuros de salida de efectivo. </w:t>
      </w:r>
    </w:p>
    <w:p w14:paraId="1876E0A8" w14:textId="77777777" w:rsidR="00F53AB1" w:rsidRPr="00A85FEA" w:rsidRDefault="00F53AB1" w:rsidP="00E25092">
      <w:pPr>
        <w:jc w:val="both"/>
        <w:rPr>
          <w:rFonts w:cs="Arial"/>
          <w:szCs w:val="22"/>
        </w:rPr>
      </w:pPr>
    </w:p>
    <w:p w14:paraId="23953FE9" w14:textId="77777777" w:rsidR="00F53AB1" w:rsidRPr="00A85FEA" w:rsidRDefault="00F53AB1" w:rsidP="00E25092">
      <w:pPr>
        <w:jc w:val="both"/>
        <w:rPr>
          <w:rFonts w:cs="Arial"/>
          <w:szCs w:val="22"/>
        </w:rPr>
      </w:pPr>
      <w:r w:rsidRPr="00A85FEA">
        <w:rPr>
          <w:rFonts w:cs="Arial"/>
          <w:szCs w:val="22"/>
        </w:rPr>
        <w:t xml:space="preserve">Los beneficios económicos futuros pueden fluir por diferentes vías; por ejemplo, un activo se puede intercambiar por efectivo o por otros activos o servicios, utilizar para liquidar un pasivo, distribuir entre las entidades controladoras, o utilizar aisladamente o en combinación con otros activos para la producción de bienes o la prestación de servicios de los cuales se va a obtener una contraprestación. </w:t>
      </w:r>
    </w:p>
    <w:p w14:paraId="2FC18DEF" w14:textId="77777777" w:rsidR="00F53AB1" w:rsidRPr="00A85FEA" w:rsidRDefault="00F53AB1" w:rsidP="00E25092">
      <w:pPr>
        <w:jc w:val="both"/>
        <w:rPr>
          <w:rFonts w:cs="Arial"/>
          <w:szCs w:val="22"/>
        </w:rPr>
      </w:pPr>
    </w:p>
    <w:p w14:paraId="2F6EDDD2" w14:textId="77777777" w:rsidR="00F53AB1" w:rsidRPr="00A85FEA" w:rsidRDefault="00F53AB1" w:rsidP="00E25092">
      <w:pPr>
        <w:jc w:val="both"/>
        <w:rPr>
          <w:rFonts w:cs="Arial"/>
          <w:szCs w:val="22"/>
        </w:rPr>
      </w:pPr>
      <w:r w:rsidRPr="00A85FEA">
        <w:rPr>
          <w:rFonts w:cs="Arial"/>
          <w:szCs w:val="22"/>
        </w:rPr>
        <w:t xml:space="preserve">Para determinar si un recurso cumple con las condiciones para el reconocimiento como activo, </w:t>
      </w:r>
      <w:r w:rsidRPr="00A85FEA">
        <w:rPr>
          <w:rFonts w:eastAsia="Calibri" w:cs="Arial"/>
          <w:szCs w:val="22"/>
        </w:rPr>
        <w:t>la Corporación para el Desarrollo Sostenible del Norte y el Oriente Amazónico – CDA</w:t>
      </w:r>
      <w:r w:rsidRPr="00A85FEA">
        <w:rPr>
          <w:rFonts w:cs="Arial"/>
          <w:szCs w:val="22"/>
        </w:rPr>
        <w:t xml:space="preserve"> realizarán juicios profesionales que aborden, de manera integral, los elementos de la definición de Activo, anteriormente referidos. </w:t>
      </w:r>
    </w:p>
    <w:p w14:paraId="4B408C84" w14:textId="77777777" w:rsidR="00F53AB1" w:rsidRPr="00A85FEA" w:rsidRDefault="00F53AB1" w:rsidP="00E25092">
      <w:pPr>
        <w:jc w:val="both"/>
        <w:rPr>
          <w:rFonts w:cs="Arial"/>
          <w:szCs w:val="22"/>
        </w:rPr>
      </w:pPr>
    </w:p>
    <w:p w14:paraId="065B8BE2" w14:textId="77777777" w:rsidR="00F53AB1" w:rsidRPr="00A85FEA" w:rsidRDefault="00F53AB1" w:rsidP="00E25092">
      <w:pPr>
        <w:jc w:val="both"/>
        <w:rPr>
          <w:rFonts w:cs="Arial"/>
          <w:szCs w:val="22"/>
        </w:rPr>
      </w:pPr>
      <w:r w:rsidRPr="00A85FEA">
        <w:rPr>
          <w:rFonts w:cs="Arial"/>
          <w:szCs w:val="22"/>
        </w:rPr>
        <w:t xml:space="preserve">Cuando se presenten transacciones de traslado o intercambio de activos entre entidades públicas, se establecerá la entidad que debe reconocer el activo, a fin de que se garantice el reconocimiento en una sola entidad. </w:t>
      </w:r>
    </w:p>
    <w:p w14:paraId="01120E1C" w14:textId="77777777" w:rsidR="00F53AB1" w:rsidRPr="00A85FEA" w:rsidRDefault="00F53AB1" w:rsidP="00D87929">
      <w:pPr>
        <w:rPr>
          <w:rFonts w:cs="Arial"/>
          <w:szCs w:val="22"/>
        </w:rPr>
      </w:pPr>
    </w:p>
    <w:p w14:paraId="2CB3F3B5" w14:textId="77777777" w:rsidR="00F53AB1" w:rsidRPr="00A85FEA" w:rsidRDefault="00F53AB1" w:rsidP="00E25092">
      <w:pPr>
        <w:jc w:val="both"/>
        <w:rPr>
          <w:rFonts w:cs="Arial"/>
          <w:szCs w:val="22"/>
        </w:rPr>
      </w:pPr>
      <w:r w:rsidRPr="00A85FEA">
        <w:rPr>
          <w:rFonts w:cs="Arial"/>
          <w:szCs w:val="22"/>
        </w:rPr>
        <w:t xml:space="preserve">Cuando un activo se gestiona fundamentalmente para generar, directamente o a través de la unidad a la que pertenece, flujos de caja y obtener un rendimiento comercial que refleje el riesgo que implica la posesión del mismo, este activo se considera generador de efectivo. Son ejemplos de estos bienes, las propiedades de inversión y los activos utilizados en la producción y venta de bienes y servicios a valor de mercado. </w:t>
      </w:r>
    </w:p>
    <w:p w14:paraId="0E992EB1" w14:textId="77777777" w:rsidR="00F53AB1" w:rsidRPr="00A85FEA" w:rsidRDefault="00F53AB1" w:rsidP="00E25092">
      <w:pPr>
        <w:jc w:val="both"/>
        <w:rPr>
          <w:rFonts w:cs="Arial"/>
          <w:szCs w:val="22"/>
        </w:rPr>
      </w:pPr>
    </w:p>
    <w:p w14:paraId="25A0E34E" w14:textId="77777777" w:rsidR="00F53AB1" w:rsidRPr="00A85FEA" w:rsidRDefault="00F53AB1" w:rsidP="00E25092">
      <w:pPr>
        <w:jc w:val="both"/>
        <w:rPr>
          <w:rFonts w:cs="Arial"/>
          <w:szCs w:val="22"/>
        </w:rPr>
      </w:pPr>
      <w:r w:rsidRPr="00A85FEA">
        <w:rPr>
          <w:rFonts w:cs="Arial"/>
          <w:szCs w:val="22"/>
        </w:rPr>
        <w:t xml:space="preserve">Cuando una entidad gestiona un activo con el fin de prestar un servicio y no con el propósito de obtener flujos de caja ni un rendimiento comercial que refleje el riesgo que implica su posesión, el activo se considera no generador de efectivo. Los bienes y servicios generados por estos activos pueden ser para consumo individual o colectivo y se suministran en mercados no competitivos. </w:t>
      </w:r>
    </w:p>
    <w:p w14:paraId="283CDC80" w14:textId="77777777" w:rsidR="00F53AB1" w:rsidRPr="00A85FEA" w:rsidRDefault="00F53AB1" w:rsidP="00E25092">
      <w:pPr>
        <w:jc w:val="both"/>
        <w:rPr>
          <w:rFonts w:cs="Arial"/>
          <w:szCs w:val="22"/>
        </w:rPr>
      </w:pPr>
    </w:p>
    <w:p w14:paraId="41E3DC53" w14:textId="77777777" w:rsidR="00F53AB1" w:rsidRPr="00A85FEA" w:rsidRDefault="00F53AB1" w:rsidP="00E25092">
      <w:pPr>
        <w:jc w:val="both"/>
        <w:rPr>
          <w:rFonts w:cs="Arial"/>
          <w:szCs w:val="22"/>
        </w:rPr>
      </w:pPr>
      <w:r w:rsidRPr="00A85FEA">
        <w:rPr>
          <w:rFonts w:cs="Arial"/>
          <w:szCs w:val="22"/>
        </w:rPr>
        <w:t xml:space="preserve">El uso y disposición de tales activos se puede restringir dado que muchos activos que incorporan potencial de servicio son especializados y, en algunos casos, de uso privativo por parte de las entidades de gobierno. Son ejemplos de estos bienes, los bienes de uso público, los bienes históricos y culturales, los bienes destinados a la recreación, el deporte y la salvaguarda de la soberanía nacional y, en general, los activos utilizados para distribuir bienes y servicios en forma gratuita o a precios de no mercado. </w:t>
      </w:r>
    </w:p>
    <w:p w14:paraId="5D8838BA" w14:textId="77777777" w:rsidR="00F53AB1" w:rsidRPr="00A85FEA" w:rsidRDefault="00F53AB1" w:rsidP="00E25092">
      <w:pPr>
        <w:pStyle w:val="Ttulo1"/>
        <w:rPr>
          <w:rFonts w:ascii="Arial" w:hAnsi="Arial" w:cs="Arial"/>
          <w:color w:val="auto"/>
          <w:sz w:val="22"/>
          <w:szCs w:val="22"/>
        </w:rPr>
      </w:pPr>
      <w:bookmarkStart w:id="42" w:name="_Toc525721342"/>
      <w:r w:rsidRPr="00A85FEA">
        <w:rPr>
          <w:rFonts w:ascii="Arial" w:hAnsi="Arial" w:cs="Arial"/>
          <w:color w:val="auto"/>
          <w:sz w:val="22"/>
          <w:szCs w:val="22"/>
        </w:rPr>
        <w:t>7.2. Pasivos</w:t>
      </w:r>
      <w:bookmarkEnd w:id="42"/>
      <w:r w:rsidRPr="00A85FEA">
        <w:rPr>
          <w:rFonts w:ascii="Arial" w:hAnsi="Arial" w:cs="Arial"/>
          <w:color w:val="auto"/>
          <w:sz w:val="22"/>
          <w:szCs w:val="22"/>
        </w:rPr>
        <w:t xml:space="preserve"> </w:t>
      </w:r>
    </w:p>
    <w:p w14:paraId="4DF50E30" w14:textId="77777777" w:rsidR="00F53AB1" w:rsidRPr="00A85FEA" w:rsidRDefault="00F53AB1" w:rsidP="00D87929">
      <w:pPr>
        <w:rPr>
          <w:rFonts w:cs="Arial"/>
          <w:szCs w:val="22"/>
        </w:rPr>
      </w:pPr>
    </w:p>
    <w:p w14:paraId="4D2E2060" w14:textId="77777777" w:rsidR="00F53AB1" w:rsidRPr="00A85FEA" w:rsidRDefault="00F53AB1" w:rsidP="00E25092">
      <w:pPr>
        <w:jc w:val="both"/>
        <w:rPr>
          <w:rFonts w:cs="Arial"/>
          <w:szCs w:val="22"/>
        </w:rPr>
      </w:pPr>
      <w:r w:rsidRPr="00A85FEA">
        <w:rPr>
          <w:rFonts w:cs="Arial"/>
          <w:szCs w:val="22"/>
        </w:rPr>
        <w:lastRenderedPageBreak/>
        <w:t>Un pasivo es una obligación presente producto de sucesos pasados para cuya cancelación, una vez vencida, la entidad espera desprenderse de recursos que incorporan beneficios económicos o un potencial de servicio.</w:t>
      </w:r>
    </w:p>
    <w:p w14:paraId="7D9CF403" w14:textId="77777777" w:rsidR="00F53AB1" w:rsidRPr="00A85FEA" w:rsidRDefault="00F53AB1" w:rsidP="00E25092">
      <w:pPr>
        <w:jc w:val="both"/>
        <w:rPr>
          <w:rFonts w:cs="Arial"/>
          <w:szCs w:val="22"/>
        </w:rPr>
      </w:pPr>
    </w:p>
    <w:p w14:paraId="094A21F0" w14:textId="77777777" w:rsidR="00F53AB1" w:rsidRPr="00A85FEA" w:rsidRDefault="00F53AB1" w:rsidP="00E25092">
      <w:pPr>
        <w:jc w:val="both"/>
        <w:rPr>
          <w:rFonts w:cs="Arial"/>
          <w:szCs w:val="22"/>
        </w:rPr>
      </w:pPr>
      <w:r w:rsidRPr="00A85FEA">
        <w:rPr>
          <w:rFonts w:cs="Arial"/>
          <w:szCs w:val="22"/>
        </w:rPr>
        <w:t xml:space="preserve">Al evaluar si existe o no una obligación presente, </w:t>
      </w:r>
      <w:r w:rsidRPr="00A85FEA">
        <w:rPr>
          <w:rFonts w:eastAsia="Calibri" w:cs="Arial"/>
          <w:szCs w:val="22"/>
        </w:rPr>
        <w:t>la Corporación para el Desarrollo Sostenible del Norte y el Oriente Amazónico – CDA</w:t>
      </w:r>
      <w:r w:rsidRPr="00A85FEA">
        <w:rPr>
          <w:rFonts w:cs="Arial"/>
          <w:szCs w:val="22"/>
        </w:rPr>
        <w:t xml:space="preserve"> se basa en la información disponible al cierre del periodo para establecer si existe la probabilidad de tener o no la obligación; si es mayor la probabilidad de no tenerla, no hay lugar al reconocimiento de un pasivo. Se considera que existe una obligación presente cuando la entidad evalúa que tiene poca o ninguna alternativa de evitar la salida de recursos. </w:t>
      </w:r>
    </w:p>
    <w:p w14:paraId="7C0497A0" w14:textId="77777777" w:rsidR="00F53AB1" w:rsidRPr="00A85FEA" w:rsidRDefault="00F53AB1" w:rsidP="00E25092">
      <w:pPr>
        <w:jc w:val="both"/>
        <w:rPr>
          <w:rFonts w:cs="Arial"/>
          <w:szCs w:val="22"/>
        </w:rPr>
      </w:pPr>
    </w:p>
    <w:p w14:paraId="5739D21B" w14:textId="77777777" w:rsidR="00F53AB1" w:rsidRPr="00A85FEA" w:rsidRDefault="00F53AB1" w:rsidP="00E25092">
      <w:pPr>
        <w:jc w:val="both"/>
        <w:rPr>
          <w:rFonts w:cs="Arial"/>
          <w:szCs w:val="22"/>
        </w:rPr>
      </w:pPr>
      <w:r w:rsidRPr="00A85FEA">
        <w:rPr>
          <w:rFonts w:cs="Arial"/>
          <w:szCs w:val="22"/>
        </w:rPr>
        <w:t xml:space="preserve">Los pasivos proceden de transacciones u otros sucesos pasados. Así, por ejemplo, la adquisición de bienes y servicios da lugar a cuentas por pagar (a menos que el pago se haya anticipado o se haya hecho al contado) y la recepción de un préstamo bancario da lugar a la obligación de reembolsar la cantidad prestada. Sin embargo, los pasivos también pueden originarse en obligaciones sobre las cuales existe incertidumbre en relación con su cuantía y/o fecha de vencimiento. </w:t>
      </w:r>
    </w:p>
    <w:p w14:paraId="603E2EBF" w14:textId="77777777" w:rsidR="00F53AB1" w:rsidRPr="00A85FEA" w:rsidRDefault="00F53AB1" w:rsidP="00D87929">
      <w:pPr>
        <w:rPr>
          <w:rFonts w:cs="Arial"/>
          <w:szCs w:val="22"/>
        </w:rPr>
      </w:pPr>
    </w:p>
    <w:p w14:paraId="4C944687" w14:textId="77777777" w:rsidR="00F53AB1" w:rsidRPr="00A85FEA" w:rsidRDefault="00F53AB1" w:rsidP="00E25092">
      <w:pPr>
        <w:jc w:val="both"/>
        <w:rPr>
          <w:rFonts w:cs="Arial"/>
          <w:szCs w:val="22"/>
        </w:rPr>
      </w:pPr>
      <w:r w:rsidRPr="00A85FEA">
        <w:rPr>
          <w:rFonts w:cs="Arial"/>
          <w:szCs w:val="22"/>
        </w:rPr>
        <w:t xml:space="preserve">Las obligaciones pueden ser exigibles legalmente como consecuencia de la ejecución de un contrato o de un mandato contenido en una norma legal; también pueden ser producto de acuerdos formales que, aunque no son exigibles legalmente, crean una expectativa válida de que la entidad está dispuesta a asumir ciertas responsabilidades frente a terceros. La cancelación de una obligación presente implica que la entidad entrega unos recursos que llevan incorporados beneficios económicos o un potencial de servicio. La extinción de una obligación presente puede llevarse a cabo de varias maneras, entre otras, el pago en efectivo; la transferencia o traslado de otros activos; la prestación de servicios; la sustitución de esa obligación por otra; y la prescripción de la obligación de acuerdo con la normatividad sobre la materia. </w:t>
      </w:r>
    </w:p>
    <w:p w14:paraId="6F628D85" w14:textId="77777777" w:rsidR="00F53AB1" w:rsidRPr="00A85FEA" w:rsidRDefault="00F53AB1" w:rsidP="00D87929">
      <w:pPr>
        <w:rPr>
          <w:rFonts w:cs="Arial"/>
          <w:szCs w:val="22"/>
        </w:rPr>
      </w:pPr>
    </w:p>
    <w:p w14:paraId="32DC1769" w14:textId="77777777" w:rsidR="00F53AB1" w:rsidRPr="00A85FEA" w:rsidRDefault="00F53AB1" w:rsidP="00E25092">
      <w:pPr>
        <w:pStyle w:val="Ttulo1"/>
        <w:rPr>
          <w:rFonts w:ascii="Arial" w:hAnsi="Arial" w:cs="Arial"/>
          <w:color w:val="auto"/>
          <w:sz w:val="22"/>
          <w:szCs w:val="22"/>
        </w:rPr>
      </w:pPr>
      <w:bookmarkStart w:id="43" w:name="_Toc525721343"/>
      <w:r w:rsidRPr="00A85FEA">
        <w:rPr>
          <w:rFonts w:ascii="Arial" w:hAnsi="Arial" w:cs="Arial"/>
          <w:color w:val="auto"/>
          <w:sz w:val="22"/>
          <w:szCs w:val="22"/>
        </w:rPr>
        <w:t>7.3. Patrimonio</w:t>
      </w:r>
      <w:bookmarkEnd w:id="43"/>
      <w:r w:rsidRPr="00A85FEA">
        <w:rPr>
          <w:rFonts w:ascii="Arial" w:hAnsi="Arial" w:cs="Arial"/>
          <w:color w:val="auto"/>
          <w:sz w:val="22"/>
          <w:szCs w:val="22"/>
        </w:rPr>
        <w:t xml:space="preserve"> </w:t>
      </w:r>
    </w:p>
    <w:p w14:paraId="407AE6CB" w14:textId="77777777" w:rsidR="00F53AB1" w:rsidRPr="00A85FEA" w:rsidRDefault="00F53AB1" w:rsidP="00D87929">
      <w:pPr>
        <w:rPr>
          <w:rFonts w:cs="Arial"/>
          <w:szCs w:val="22"/>
        </w:rPr>
      </w:pPr>
    </w:p>
    <w:p w14:paraId="45F4D6CF" w14:textId="77777777" w:rsidR="00F53AB1" w:rsidRPr="00A85FEA" w:rsidRDefault="00F53AB1" w:rsidP="00E25092">
      <w:pPr>
        <w:jc w:val="both"/>
        <w:rPr>
          <w:rFonts w:cs="Arial"/>
          <w:szCs w:val="22"/>
        </w:rPr>
      </w:pPr>
      <w:r w:rsidRPr="00A85FEA">
        <w:rPr>
          <w:rFonts w:cs="Arial"/>
          <w:szCs w:val="22"/>
        </w:rPr>
        <w:t xml:space="preserve">El patrimonio comprende el valor de los recursos públicos (representados en bienes y derechos) deducidas las obligaciones, que tiene </w:t>
      </w:r>
      <w:r w:rsidRPr="00A85FEA">
        <w:rPr>
          <w:rFonts w:eastAsia="Calibri" w:cs="Arial"/>
          <w:szCs w:val="22"/>
        </w:rPr>
        <w:t>la Corporación para el Desarrollo Sostenible del Norte y el Oriente Amazónico – CDA</w:t>
      </w:r>
      <w:r w:rsidRPr="00A85FEA">
        <w:rPr>
          <w:rFonts w:cs="Arial"/>
          <w:szCs w:val="22"/>
        </w:rPr>
        <w:t xml:space="preserve"> para cumplir las funciones de cometido estatal. </w:t>
      </w:r>
    </w:p>
    <w:p w14:paraId="5CE18D9A" w14:textId="77777777" w:rsidR="00F53AB1" w:rsidRPr="00A85FEA" w:rsidRDefault="00F53AB1" w:rsidP="00E25092">
      <w:pPr>
        <w:jc w:val="both"/>
        <w:rPr>
          <w:rFonts w:cs="Arial"/>
          <w:szCs w:val="22"/>
        </w:rPr>
      </w:pPr>
    </w:p>
    <w:p w14:paraId="540234F2" w14:textId="77777777" w:rsidR="00F53AB1" w:rsidRPr="00A85FEA" w:rsidRDefault="00F53AB1" w:rsidP="00E25092">
      <w:pPr>
        <w:jc w:val="both"/>
        <w:rPr>
          <w:rFonts w:cs="Arial"/>
          <w:szCs w:val="22"/>
        </w:rPr>
      </w:pPr>
      <w:r w:rsidRPr="00A85FEA">
        <w:rPr>
          <w:rFonts w:cs="Arial"/>
          <w:szCs w:val="22"/>
        </w:rPr>
        <w:t xml:space="preserve">El patrimonio de </w:t>
      </w:r>
      <w:r w:rsidRPr="00A85FEA">
        <w:rPr>
          <w:rFonts w:eastAsia="Calibri" w:cs="Arial"/>
          <w:szCs w:val="22"/>
        </w:rPr>
        <w:t>la Corporación para el Desarrollo Sostenible del Norte y el Oriente Amazónico – CDA</w:t>
      </w:r>
      <w:r w:rsidRPr="00A85FEA">
        <w:rPr>
          <w:rFonts w:cs="Arial"/>
          <w:szCs w:val="22"/>
        </w:rPr>
        <w:t xml:space="preserve"> está constituido por los aportes para la creación de la entidad, los resultados y otras partidas que, de acuerdo con lo establecido en las Normas para el reconocimiento, medición, revelación y presentación de los hechos económicos, deben reconocerse en el patrimonio.</w:t>
      </w:r>
    </w:p>
    <w:p w14:paraId="73B6063F" w14:textId="77777777" w:rsidR="00F53AB1" w:rsidRPr="00A85FEA" w:rsidRDefault="00F53AB1" w:rsidP="00E25092">
      <w:pPr>
        <w:pStyle w:val="Ttulo1"/>
        <w:rPr>
          <w:rFonts w:ascii="Arial" w:hAnsi="Arial" w:cs="Arial"/>
          <w:color w:val="auto"/>
          <w:sz w:val="22"/>
          <w:szCs w:val="22"/>
        </w:rPr>
      </w:pPr>
      <w:bookmarkStart w:id="44" w:name="_Toc525721344"/>
      <w:r w:rsidRPr="00A85FEA">
        <w:rPr>
          <w:rFonts w:ascii="Arial" w:hAnsi="Arial" w:cs="Arial"/>
          <w:color w:val="auto"/>
          <w:sz w:val="22"/>
          <w:szCs w:val="22"/>
        </w:rPr>
        <w:lastRenderedPageBreak/>
        <w:t>7.4. Ingresos</w:t>
      </w:r>
      <w:bookmarkEnd w:id="44"/>
      <w:r w:rsidRPr="00A85FEA">
        <w:rPr>
          <w:rFonts w:ascii="Arial" w:hAnsi="Arial" w:cs="Arial"/>
          <w:color w:val="auto"/>
          <w:sz w:val="22"/>
          <w:szCs w:val="22"/>
        </w:rPr>
        <w:t xml:space="preserve"> </w:t>
      </w:r>
    </w:p>
    <w:p w14:paraId="291A9307" w14:textId="77777777" w:rsidR="00F53AB1" w:rsidRPr="00A85FEA" w:rsidRDefault="00F53AB1" w:rsidP="00D87929">
      <w:pPr>
        <w:rPr>
          <w:rFonts w:cs="Arial"/>
          <w:szCs w:val="22"/>
        </w:rPr>
      </w:pPr>
    </w:p>
    <w:p w14:paraId="7B873BFF" w14:textId="77777777" w:rsidR="00F53AB1" w:rsidRPr="00A85FEA" w:rsidRDefault="00F53AB1" w:rsidP="00E25092">
      <w:pPr>
        <w:jc w:val="both"/>
        <w:rPr>
          <w:rFonts w:cs="Arial"/>
          <w:szCs w:val="22"/>
        </w:rPr>
      </w:pPr>
      <w:r w:rsidRPr="00A85FEA">
        <w:rPr>
          <w:rFonts w:cs="Arial"/>
          <w:szCs w:val="22"/>
        </w:rPr>
        <w:t xml:space="preserve">Los ingresos son los incrementos en los beneficios económicos o en el potencial de servicio producidos a lo largo del periodo contable (bien en forma de entradas o incrementos de valor de los activos, o bien como salidas o decrementos de los pasivos) que dan como resultado aumentos del patrimonio y no están relacionados con los aportes para la creación de la entidad. </w:t>
      </w:r>
    </w:p>
    <w:p w14:paraId="0E159848" w14:textId="77777777" w:rsidR="00F53AB1" w:rsidRPr="00A85FEA" w:rsidRDefault="00F53AB1" w:rsidP="00E25092">
      <w:pPr>
        <w:jc w:val="both"/>
        <w:rPr>
          <w:rFonts w:cs="Arial"/>
          <w:szCs w:val="22"/>
        </w:rPr>
      </w:pPr>
    </w:p>
    <w:p w14:paraId="6D7FB255" w14:textId="77777777" w:rsidR="00F53AB1" w:rsidRPr="00A85FEA" w:rsidRDefault="00F53AB1" w:rsidP="00E25092">
      <w:pPr>
        <w:jc w:val="both"/>
        <w:rPr>
          <w:rFonts w:cs="Arial"/>
          <w:szCs w:val="22"/>
        </w:rPr>
      </w:pPr>
      <w:r w:rsidRPr="00A85FEA">
        <w:rPr>
          <w:rFonts w:cs="Arial"/>
          <w:szCs w:val="22"/>
        </w:rPr>
        <w:t xml:space="preserve">Los ingresos de </w:t>
      </w:r>
      <w:r w:rsidRPr="00A85FEA">
        <w:rPr>
          <w:rFonts w:eastAsia="Calibri" w:cs="Arial"/>
          <w:szCs w:val="22"/>
        </w:rPr>
        <w:t>la Corporación para el Desarrollo Sostenible del Norte y el Oriente Amazónico – CDA</w:t>
      </w:r>
      <w:r w:rsidRPr="00A85FEA">
        <w:rPr>
          <w:rFonts w:cs="Arial"/>
          <w:szCs w:val="22"/>
        </w:rPr>
        <w:t xml:space="preserve"> surgen de transacciones sin contraprestación. Un ingreso producto de una transacción sin contraprestación es aquel que recibe la entidad sin que deba entregar a cambio una contraprestación que se aproxime al valor de mercado del recurso recibido, es decir, la entidad no entrega nada a cambio del recurso recibido o, si lo hace, el valor entregado es menor al valor de mercado del recurso recibido. Como son las transferencias, tales como traslado de recursos entre entidades de gobierno, donaciones. </w:t>
      </w:r>
    </w:p>
    <w:p w14:paraId="56E95F36" w14:textId="77777777" w:rsidR="00F53AB1" w:rsidRPr="00A85FEA" w:rsidRDefault="00F53AB1" w:rsidP="00E25092">
      <w:pPr>
        <w:jc w:val="both"/>
        <w:rPr>
          <w:rFonts w:cs="Arial"/>
          <w:szCs w:val="22"/>
        </w:rPr>
      </w:pPr>
    </w:p>
    <w:p w14:paraId="51F69007" w14:textId="77777777" w:rsidR="00F53AB1" w:rsidRPr="00A85FEA" w:rsidRDefault="00F53AB1" w:rsidP="00E25092">
      <w:pPr>
        <w:jc w:val="both"/>
        <w:rPr>
          <w:rFonts w:cs="Arial"/>
          <w:szCs w:val="22"/>
        </w:rPr>
      </w:pPr>
      <w:r w:rsidRPr="00A85FEA">
        <w:rPr>
          <w:rFonts w:cs="Arial"/>
          <w:szCs w:val="22"/>
        </w:rPr>
        <w:t xml:space="preserve">Eventualmente, las entidades de gobierno obtienen ingresos con contraprestación que son aquellos originados en la venta de bienes, en la prestación de servicios o en el uso que terceros hacen de activos que producen intereses, regalías, arrendamientos, dividendos o participaciones, entre otros. </w:t>
      </w:r>
    </w:p>
    <w:p w14:paraId="7B004E95" w14:textId="77777777" w:rsidR="00F53AB1" w:rsidRPr="00A85FEA" w:rsidRDefault="00F53AB1" w:rsidP="00E25092">
      <w:pPr>
        <w:pStyle w:val="Ttulo1"/>
        <w:rPr>
          <w:rFonts w:ascii="Arial" w:hAnsi="Arial" w:cs="Arial"/>
          <w:color w:val="auto"/>
          <w:sz w:val="22"/>
          <w:szCs w:val="22"/>
        </w:rPr>
      </w:pPr>
      <w:bookmarkStart w:id="45" w:name="_Toc525721345"/>
      <w:r w:rsidRPr="00A85FEA">
        <w:rPr>
          <w:rFonts w:ascii="Arial" w:hAnsi="Arial" w:cs="Arial"/>
          <w:color w:val="auto"/>
          <w:sz w:val="22"/>
          <w:szCs w:val="22"/>
        </w:rPr>
        <w:t>7.5. Gastos</w:t>
      </w:r>
      <w:bookmarkEnd w:id="45"/>
    </w:p>
    <w:p w14:paraId="55D39580" w14:textId="77777777" w:rsidR="00F53AB1" w:rsidRPr="00A85FEA" w:rsidRDefault="00F53AB1" w:rsidP="00D87929">
      <w:pPr>
        <w:rPr>
          <w:rFonts w:cs="Arial"/>
          <w:szCs w:val="22"/>
        </w:rPr>
      </w:pPr>
    </w:p>
    <w:p w14:paraId="311B3494" w14:textId="77777777" w:rsidR="00F53AB1" w:rsidRPr="00A85FEA" w:rsidRDefault="00F53AB1" w:rsidP="00E25092">
      <w:pPr>
        <w:jc w:val="both"/>
        <w:rPr>
          <w:rFonts w:cs="Arial"/>
          <w:szCs w:val="22"/>
        </w:rPr>
      </w:pPr>
      <w:r w:rsidRPr="00A85FEA">
        <w:rPr>
          <w:rFonts w:cs="Arial"/>
          <w:szCs w:val="22"/>
        </w:rPr>
        <w:t xml:space="preserve">Los gastos son los decrementos en los beneficios económicos o en el potencial de servicio producidos a lo largo del periodo contable (bien en forma de salidas o disminuciones del valor de los activos, o bien por la generación o aumento de los pasivos) que dan como resultado decrementos en el patrimonio y no están asociados con la adquisición o producción de bienes y la prestación de servicios, vendidos, ni con la distribución de excedentes. Los gastos pueden surgir del consumo de activos (depreciación), de la disminución del potencial de servicio y la capacidad de generar beneficios económicos (deterioro), del ajuste de activos al valor de mercado, del ajuste de pasivos por variaciones en su valor, de las pérdidas por siniestros o de la venta de activos no corrientes que deban reconocerse en el resultado del periodo. </w:t>
      </w:r>
    </w:p>
    <w:p w14:paraId="7BBCECE0" w14:textId="77777777" w:rsidR="00F53AB1" w:rsidRPr="00A85FEA" w:rsidRDefault="00F53AB1" w:rsidP="00E25092">
      <w:pPr>
        <w:pStyle w:val="Ttulo1"/>
        <w:jc w:val="center"/>
        <w:rPr>
          <w:rFonts w:ascii="Arial" w:hAnsi="Arial" w:cs="Arial"/>
          <w:color w:val="auto"/>
          <w:sz w:val="22"/>
          <w:szCs w:val="22"/>
        </w:rPr>
      </w:pPr>
      <w:bookmarkStart w:id="46" w:name="_Toc525721346"/>
      <w:r w:rsidRPr="00A85FEA">
        <w:rPr>
          <w:rFonts w:ascii="Arial" w:hAnsi="Arial" w:cs="Arial"/>
          <w:color w:val="auto"/>
          <w:sz w:val="22"/>
          <w:szCs w:val="22"/>
        </w:rPr>
        <w:lastRenderedPageBreak/>
        <w:t>CAPITULO III. ACTIVOS</w:t>
      </w:r>
      <w:bookmarkEnd w:id="46"/>
    </w:p>
    <w:p w14:paraId="19D848C9" w14:textId="77777777" w:rsidR="00F53AB1" w:rsidRPr="00A85FEA" w:rsidRDefault="00F53AB1" w:rsidP="00E25092">
      <w:pPr>
        <w:pStyle w:val="Ttulo1"/>
        <w:rPr>
          <w:rFonts w:ascii="Arial" w:hAnsi="Arial" w:cs="Arial"/>
          <w:color w:val="auto"/>
          <w:sz w:val="22"/>
          <w:szCs w:val="22"/>
        </w:rPr>
      </w:pPr>
      <w:bookmarkStart w:id="47" w:name="_Toc525721347"/>
      <w:r w:rsidRPr="00A85FEA">
        <w:rPr>
          <w:rFonts w:ascii="Arial" w:hAnsi="Arial" w:cs="Arial"/>
          <w:color w:val="auto"/>
          <w:sz w:val="22"/>
          <w:szCs w:val="22"/>
        </w:rPr>
        <w:t>1. POLÍTICA DE EFECTIVO Y EQUIVALENTES AL EFECTIVO</w:t>
      </w:r>
      <w:bookmarkEnd w:id="47"/>
    </w:p>
    <w:p w14:paraId="196D00CB" w14:textId="77777777" w:rsidR="00F53AB1" w:rsidRPr="00A85FEA" w:rsidRDefault="00E25092" w:rsidP="00E25092">
      <w:pPr>
        <w:pStyle w:val="Ttulo1"/>
        <w:rPr>
          <w:rFonts w:ascii="Arial" w:hAnsi="Arial" w:cs="Arial"/>
          <w:color w:val="auto"/>
          <w:sz w:val="22"/>
          <w:szCs w:val="22"/>
        </w:rPr>
      </w:pPr>
      <w:bookmarkStart w:id="48" w:name="_Toc525721348"/>
      <w:r w:rsidRPr="00A85FEA">
        <w:rPr>
          <w:rFonts w:ascii="Arial" w:hAnsi="Arial" w:cs="Arial"/>
          <w:color w:val="auto"/>
          <w:sz w:val="22"/>
          <w:szCs w:val="22"/>
        </w:rPr>
        <w:t xml:space="preserve">1.1 </w:t>
      </w:r>
      <w:r w:rsidR="00F53AB1" w:rsidRPr="00A85FEA">
        <w:rPr>
          <w:rFonts w:ascii="Arial" w:hAnsi="Arial" w:cs="Arial"/>
          <w:color w:val="auto"/>
          <w:sz w:val="22"/>
          <w:szCs w:val="22"/>
        </w:rPr>
        <w:t>Objetivo</w:t>
      </w:r>
      <w:bookmarkEnd w:id="48"/>
    </w:p>
    <w:p w14:paraId="05C420F3" w14:textId="77777777" w:rsidR="003A339B" w:rsidRPr="00A85FEA" w:rsidRDefault="003A339B" w:rsidP="00D87929">
      <w:pPr>
        <w:rPr>
          <w:rFonts w:cs="Arial"/>
          <w:szCs w:val="22"/>
        </w:rPr>
      </w:pPr>
    </w:p>
    <w:p w14:paraId="5030BC67" w14:textId="77777777" w:rsidR="00F53AB1" w:rsidRPr="00A85FEA" w:rsidRDefault="00F53AB1" w:rsidP="007D4AC1">
      <w:pPr>
        <w:jc w:val="both"/>
        <w:rPr>
          <w:rFonts w:eastAsia="Calibri" w:cs="Arial"/>
          <w:szCs w:val="22"/>
        </w:rPr>
      </w:pPr>
      <w:r w:rsidRPr="00A85FEA">
        <w:rPr>
          <w:rFonts w:cs="Arial"/>
          <w:szCs w:val="22"/>
          <w:shd w:val="clear" w:color="auto" w:fill="FFFFFF"/>
        </w:rPr>
        <w:t xml:space="preserve">Establecer las bases contables para el reconocimiento, medición, presentación y revelación de las cuentas de efectivo y sus equivalentes en </w:t>
      </w:r>
      <w:r w:rsidRPr="00A85FEA">
        <w:rPr>
          <w:rFonts w:eastAsia="Calibri" w:cs="Arial"/>
          <w:szCs w:val="22"/>
        </w:rPr>
        <w:t>el la Corporación para el Desarrollo Sostenible del Norte y el Oriente Amazónico – CDA.</w:t>
      </w:r>
    </w:p>
    <w:p w14:paraId="78B8A91C" w14:textId="77777777" w:rsidR="00F53AB1" w:rsidRPr="00A85FEA" w:rsidRDefault="00F53AB1" w:rsidP="00E25092">
      <w:pPr>
        <w:pStyle w:val="Ttulo1"/>
        <w:rPr>
          <w:rFonts w:ascii="Arial" w:hAnsi="Arial" w:cs="Arial"/>
          <w:color w:val="auto"/>
          <w:sz w:val="22"/>
          <w:szCs w:val="22"/>
        </w:rPr>
      </w:pPr>
      <w:bookmarkStart w:id="49" w:name="_Toc525721349"/>
      <w:r w:rsidRPr="00A85FEA">
        <w:rPr>
          <w:rFonts w:ascii="Arial" w:hAnsi="Arial" w:cs="Arial"/>
          <w:color w:val="auto"/>
          <w:sz w:val="22"/>
          <w:szCs w:val="22"/>
        </w:rPr>
        <w:t>1.2. Normatividad relacionada</w:t>
      </w:r>
      <w:bookmarkEnd w:id="49"/>
    </w:p>
    <w:p w14:paraId="5F3C9460" w14:textId="77777777" w:rsidR="00F53AB1" w:rsidRPr="00A85FEA" w:rsidRDefault="00F53AB1" w:rsidP="00D87929">
      <w:pPr>
        <w:rPr>
          <w:rFonts w:eastAsia="Calibri" w:cs="Arial"/>
          <w:szCs w:val="22"/>
        </w:rPr>
      </w:pPr>
    </w:p>
    <w:p w14:paraId="321514CC" w14:textId="77777777" w:rsidR="00F53AB1" w:rsidRPr="00A85FEA" w:rsidRDefault="00F53AB1" w:rsidP="00E25092">
      <w:pPr>
        <w:jc w:val="both"/>
        <w:rPr>
          <w:rFonts w:cs="Arial"/>
          <w:szCs w:val="22"/>
        </w:rPr>
      </w:pPr>
      <w:r w:rsidRPr="00A85FEA">
        <w:rPr>
          <w:rFonts w:cs="Arial"/>
          <w:szCs w:val="22"/>
        </w:rPr>
        <w:t>Normas para el Reconocimiento, Medición, Presentación y Revelación de los Hechos Económicos de las Entidades de Gobierno,</w:t>
      </w:r>
      <w:r w:rsidRPr="00A85FEA">
        <w:rPr>
          <w:rFonts w:eastAsia="Calibri" w:cs="Arial"/>
          <w:szCs w:val="22"/>
        </w:rPr>
        <w:t xml:space="preserve"> Capítulo VI Normas para la presentación de estados financieros y revelaciones. Numeral 1.3.5. Estado de flujos de efectivo.</w:t>
      </w:r>
    </w:p>
    <w:p w14:paraId="6DCB9B7E" w14:textId="77777777" w:rsidR="00F53AB1" w:rsidRPr="00A85FEA" w:rsidRDefault="00F53AB1" w:rsidP="00E25092">
      <w:pPr>
        <w:pStyle w:val="Ttulo1"/>
        <w:rPr>
          <w:rFonts w:ascii="Arial" w:hAnsi="Arial" w:cs="Arial"/>
          <w:color w:val="auto"/>
          <w:sz w:val="22"/>
          <w:szCs w:val="22"/>
        </w:rPr>
      </w:pPr>
      <w:bookmarkStart w:id="50" w:name="_Toc525721350"/>
      <w:r w:rsidRPr="00A85FEA">
        <w:rPr>
          <w:rFonts w:ascii="Arial" w:hAnsi="Arial" w:cs="Arial"/>
          <w:color w:val="auto"/>
          <w:sz w:val="22"/>
          <w:szCs w:val="22"/>
        </w:rPr>
        <w:t>1.3. Alcance</w:t>
      </w:r>
      <w:bookmarkEnd w:id="50"/>
    </w:p>
    <w:p w14:paraId="37191242" w14:textId="77777777" w:rsidR="00F53AB1" w:rsidRPr="00A85FEA" w:rsidRDefault="00F53AB1" w:rsidP="00D87929">
      <w:pPr>
        <w:rPr>
          <w:rFonts w:cs="Arial"/>
          <w:szCs w:val="22"/>
          <w:shd w:val="clear" w:color="auto" w:fill="FFFFFF"/>
        </w:rPr>
      </w:pPr>
    </w:p>
    <w:p w14:paraId="57DE2D97" w14:textId="77777777" w:rsidR="00F53AB1" w:rsidRPr="00A85FEA" w:rsidRDefault="00F53AB1" w:rsidP="00E25092">
      <w:pPr>
        <w:jc w:val="both"/>
        <w:rPr>
          <w:rFonts w:cs="Arial"/>
          <w:szCs w:val="22"/>
          <w:shd w:val="clear" w:color="auto" w:fill="FFFFFF"/>
        </w:rPr>
      </w:pPr>
      <w:r w:rsidRPr="00A85FEA">
        <w:rPr>
          <w:rFonts w:cs="Arial"/>
          <w:szCs w:val="22"/>
          <w:shd w:val="clear" w:color="auto" w:fill="FFFFFF"/>
        </w:rPr>
        <w:t xml:space="preserve">Esta política contable comprende los activos financieros que se clasifican en el efectivo y los equivalentes al efectivo, de </w:t>
      </w:r>
      <w:r w:rsidRPr="00A85FEA">
        <w:rPr>
          <w:rFonts w:eastAsia="Calibri" w:cs="Arial"/>
          <w:szCs w:val="22"/>
        </w:rPr>
        <w:t>la Corporación para el Desarrollo Sostenible del Norte y el Oriente Amazónico – CDA</w:t>
      </w:r>
      <w:r w:rsidRPr="00A85FEA">
        <w:rPr>
          <w:rFonts w:cs="Arial"/>
          <w:bCs/>
          <w:szCs w:val="22"/>
        </w:rPr>
        <w:t>, disponibles para su utilización, como también las cuentas de ahorro y cuentas corrientes con efectivo restringido</w:t>
      </w:r>
    </w:p>
    <w:p w14:paraId="0187DBDE" w14:textId="77777777" w:rsidR="00F53AB1" w:rsidRPr="00A85FEA" w:rsidRDefault="00F53AB1" w:rsidP="00E25092">
      <w:pPr>
        <w:pStyle w:val="Ttulo1"/>
        <w:rPr>
          <w:rFonts w:ascii="Arial" w:hAnsi="Arial" w:cs="Arial"/>
          <w:color w:val="auto"/>
          <w:sz w:val="22"/>
          <w:szCs w:val="22"/>
        </w:rPr>
      </w:pPr>
      <w:bookmarkStart w:id="51" w:name="_Toc525721351"/>
      <w:r w:rsidRPr="00A85FEA">
        <w:rPr>
          <w:rFonts w:ascii="Arial" w:hAnsi="Arial" w:cs="Arial"/>
          <w:color w:val="auto"/>
          <w:sz w:val="22"/>
          <w:szCs w:val="22"/>
        </w:rPr>
        <w:t>1.4. Política Contable General</w:t>
      </w:r>
      <w:bookmarkEnd w:id="51"/>
    </w:p>
    <w:p w14:paraId="540A773D" w14:textId="77777777" w:rsidR="00F53AB1" w:rsidRPr="00A85FEA" w:rsidRDefault="00F53AB1" w:rsidP="00D87929">
      <w:pPr>
        <w:rPr>
          <w:rFonts w:cs="Arial"/>
          <w:szCs w:val="22"/>
          <w:shd w:val="clear" w:color="auto" w:fill="FFFFFF"/>
        </w:rPr>
      </w:pPr>
    </w:p>
    <w:p w14:paraId="308D43B7" w14:textId="77777777" w:rsidR="00F53AB1" w:rsidRPr="00A85FEA" w:rsidRDefault="00F53AB1" w:rsidP="00E25092">
      <w:pPr>
        <w:jc w:val="both"/>
        <w:rPr>
          <w:rFonts w:cs="Arial"/>
          <w:szCs w:val="22"/>
          <w:shd w:val="clear" w:color="auto" w:fill="FFFFFF"/>
        </w:rPr>
      </w:pPr>
      <w:r w:rsidRPr="00A85FEA">
        <w:rPr>
          <w:rFonts w:cs="Arial"/>
          <w:szCs w:val="22"/>
          <w:shd w:val="clear" w:color="auto" w:fill="FFFFFF"/>
        </w:rPr>
        <w:t xml:space="preserve">El efectivo </w:t>
      </w:r>
      <w:r w:rsidRPr="00A85FEA">
        <w:rPr>
          <w:rFonts w:cs="Arial"/>
          <w:szCs w:val="22"/>
        </w:rPr>
        <w:t>presenta los fondos provistos y utilizados por la entidad, en desarrollo de sus actividades de operación, inversión y financiación, durante el periodo contable.</w:t>
      </w:r>
    </w:p>
    <w:p w14:paraId="366B9FA5" w14:textId="77777777" w:rsidR="00F53AB1" w:rsidRPr="00A85FEA" w:rsidRDefault="00F53AB1" w:rsidP="00E25092">
      <w:pPr>
        <w:jc w:val="both"/>
        <w:rPr>
          <w:rFonts w:cs="Arial"/>
          <w:szCs w:val="22"/>
          <w:shd w:val="clear" w:color="auto" w:fill="FFFFFF"/>
        </w:rPr>
      </w:pPr>
    </w:p>
    <w:p w14:paraId="59D84073" w14:textId="77777777" w:rsidR="00F53AB1" w:rsidRPr="00A85FEA" w:rsidRDefault="00F53AB1" w:rsidP="00E25092">
      <w:pPr>
        <w:jc w:val="both"/>
        <w:rPr>
          <w:rFonts w:cs="Arial"/>
          <w:szCs w:val="22"/>
        </w:rPr>
      </w:pPr>
      <w:r w:rsidRPr="00A85FEA">
        <w:rPr>
          <w:rFonts w:cs="Arial"/>
          <w:szCs w:val="22"/>
        </w:rPr>
        <w:t xml:space="preserve">Los equivalentes al efectivo representan inversiones a corto plazo de alta liquidez que son fácilmente convertibles en efectivo, que se mantienen para cumplir con los compromisos de pago a corto plazo más que para propósitos de inversión y que están sujetas a un riesgo poco significativo de cambios en su valor. Por tanto, serán equivalentes al efectivo: </w:t>
      </w:r>
    </w:p>
    <w:p w14:paraId="582D6EDE" w14:textId="77777777" w:rsidR="00F53AB1" w:rsidRPr="00A85FEA" w:rsidRDefault="00F53AB1" w:rsidP="00E25092">
      <w:pPr>
        <w:jc w:val="both"/>
        <w:rPr>
          <w:rFonts w:cs="Arial"/>
          <w:szCs w:val="22"/>
        </w:rPr>
      </w:pPr>
    </w:p>
    <w:p w14:paraId="6203147C" w14:textId="77777777" w:rsidR="00F53AB1" w:rsidRPr="00A85FEA" w:rsidRDefault="00F53AB1" w:rsidP="00E25092">
      <w:pPr>
        <w:jc w:val="both"/>
        <w:rPr>
          <w:rFonts w:cs="Arial"/>
          <w:szCs w:val="22"/>
        </w:rPr>
      </w:pPr>
      <w:r w:rsidRPr="00A85FEA">
        <w:rPr>
          <w:rFonts w:cs="Arial"/>
          <w:szCs w:val="22"/>
        </w:rPr>
        <w:t>a) las inversiones que tengan vencimiento no mayor a tres meses desde la fecha de adquisición.</w:t>
      </w:r>
    </w:p>
    <w:p w14:paraId="2B35D115" w14:textId="77777777" w:rsidR="00F53AB1" w:rsidRPr="00A85FEA" w:rsidRDefault="00F53AB1" w:rsidP="00D87929">
      <w:pPr>
        <w:rPr>
          <w:rFonts w:cs="Arial"/>
          <w:szCs w:val="22"/>
          <w:shd w:val="clear" w:color="auto" w:fill="FFFFFF"/>
        </w:rPr>
      </w:pPr>
    </w:p>
    <w:p w14:paraId="4AA2EC05" w14:textId="77777777" w:rsidR="00F53AB1" w:rsidRPr="00A85FEA" w:rsidRDefault="00F53AB1" w:rsidP="00D87929">
      <w:pPr>
        <w:rPr>
          <w:rFonts w:cs="Arial"/>
          <w:bCs/>
          <w:iCs/>
          <w:szCs w:val="22"/>
        </w:rPr>
      </w:pPr>
      <w:r w:rsidRPr="00A85FEA">
        <w:rPr>
          <w:rFonts w:cs="Arial"/>
          <w:bCs/>
          <w:iCs/>
          <w:szCs w:val="22"/>
        </w:rPr>
        <w:t>1.4.1. Efectivo Restringido</w:t>
      </w:r>
    </w:p>
    <w:p w14:paraId="67454A0A" w14:textId="77777777" w:rsidR="00F53AB1" w:rsidRPr="00A85FEA" w:rsidRDefault="00F53AB1" w:rsidP="00D87929">
      <w:pPr>
        <w:rPr>
          <w:rFonts w:cs="Arial"/>
          <w:bCs/>
          <w:iCs/>
          <w:szCs w:val="22"/>
        </w:rPr>
      </w:pPr>
    </w:p>
    <w:p w14:paraId="683653BF" w14:textId="77777777" w:rsidR="00F53AB1" w:rsidRPr="00A85FEA" w:rsidRDefault="00F53AB1" w:rsidP="00E25092">
      <w:pPr>
        <w:jc w:val="both"/>
        <w:rPr>
          <w:rFonts w:cs="Arial"/>
          <w:bCs/>
          <w:iCs/>
          <w:szCs w:val="22"/>
        </w:rPr>
      </w:pPr>
      <w:r w:rsidRPr="00A85FEA">
        <w:rPr>
          <w:rFonts w:eastAsia="Calibri" w:cs="Arial"/>
          <w:szCs w:val="22"/>
        </w:rPr>
        <w:lastRenderedPageBreak/>
        <w:t xml:space="preserve">la Corporación para el Desarrollo Sostenible del Norte y el Oriente Amazónico – CDA </w:t>
      </w:r>
      <w:r w:rsidRPr="00A85FEA">
        <w:rPr>
          <w:rFonts w:cs="Arial"/>
          <w:bCs/>
          <w:iCs/>
          <w:szCs w:val="22"/>
        </w:rPr>
        <w:t>considera efectivo restringido aquel que tiene condiciones para su disposición, originadas por el vínculo contractual o por marco legal, como lo son los recursos monetarios que de las cuentas del tesoro nacional y las cuentas exclusivas de convenios.</w:t>
      </w:r>
    </w:p>
    <w:p w14:paraId="0737B8BB" w14:textId="77777777" w:rsidR="00F53AB1" w:rsidRPr="00A85FEA" w:rsidRDefault="00F53AB1" w:rsidP="00E25092">
      <w:pPr>
        <w:pStyle w:val="Ttulo1"/>
        <w:rPr>
          <w:rFonts w:ascii="Arial" w:hAnsi="Arial" w:cs="Arial"/>
          <w:color w:val="auto"/>
          <w:sz w:val="22"/>
          <w:szCs w:val="22"/>
        </w:rPr>
      </w:pPr>
      <w:bookmarkStart w:id="52" w:name="_Toc525721352"/>
      <w:r w:rsidRPr="00A85FEA">
        <w:rPr>
          <w:rFonts w:ascii="Arial" w:hAnsi="Arial" w:cs="Arial"/>
          <w:color w:val="auto"/>
          <w:sz w:val="22"/>
          <w:szCs w:val="22"/>
        </w:rPr>
        <w:t>1.5. Reconocimiento</w:t>
      </w:r>
      <w:bookmarkEnd w:id="52"/>
    </w:p>
    <w:p w14:paraId="7FB69873" w14:textId="77777777" w:rsidR="00F53AB1" w:rsidRPr="00A85FEA" w:rsidRDefault="00F53AB1" w:rsidP="00D87929">
      <w:pPr>
        <w:rPr>
          <w:rFonts w:cs="Arial"/>
          <w:szCs w:val="22"/>
          <w:shd w:val="clear" w:color="auto" w:fill="FFFFFF"/>
        </w:rPr>
      </w:pPr>
    </w:p>
    <w:p w14:paraId="1B036EAA" w14:textId="77777777" w:rsidR="00F53AB1" w:rsidRPr="00A85FEA" w:rsidRDefault="00F53AB1" w:rsidP="00E25092">
      <w:pPr>
        <w:jc w:val="both"/>
        <w:rPr>
          <w:rFonts w:cs="Arial"/>
          <w:szCs w:val="22"/>
          <w:shd w:val="clear" w:color="auto" w:fill="FFFFFF"/>
        </w:rPr>
      </w:pPr>
      <w:r w:rsidRPr="00A85FEA">
        <w:rPr>
          <w:rFonts w:cs="Arial"/>
          <w:szCs w:val="22"/>
          <w:shd w:val="clear" w:color="auto" w:fill="FFFFFF"/>
        </w:rPr>
        <w:t xml:space="preserve">Se reconocen en el momento en que el efectivo es recibido en las cuentas corrientes o de ahorros </w:t>
      </w:r>
      <w:r w:rsidRPr="00A85FEA">
        <w:rPr>
          <w:rFonts w:cs="Arial"/>
          <w:szCs w:val="22"/>
        </w:rPr>
        <w:t>en bancos que se mantiene en las entidades financieras debidamente reconocidas.</w:t>
      </w:r>
    </w:p>
    <w:p w14:paraId="6DB91F09" w14:textId="77777777" w:rsidR="00F53AB1" w:rsidRPr="00A85FEA" w:rsidRDefault="00F53AB1" w:rsidP="00E25092">
      <w:pPr>
        <w:pStyle w:val="Ttulo1"/>
        <w:rPr>
          <w:rFonts w:ascii="Arial" w:hAnsi="Arial" w:cs="Arial"/>
          <w:color w:val="auto"/>
          <w:sz w:val="22"/>
          <w:szCs w:val="22"/>
        </w:rPr>
      </w:pPr>
      <w:bookmarkStart w:id="53" w:name="_Toc525721353"/>
      <w:r w:rsidRPr="00A85FEA">
        <w:rPr>
          <w:rFonts w:ascii="Arial" w:hAnsi="Arial" w:cs="Arial"/>
          <w:color w:val="auto"/>
          <w:sz w:val="22"/>
          <w:szCs w:val="22"/>
        </w:rPr>
        <w:t>1.6. Medición Inicial y posterior</w:t>
      </w:r>
      <w:bookmarkEnd w:id="53"/>
    </w:p>
    <w:p w14:paraId="71E88DB5" w14:textId="77777777" w:rsidR="00F53AB1" w:rsidRPr="00A85FEA" w:rsidRDefault="00F53AB1" w:rsidP="00D87929">
      <w:pPr>
        <w:rPr>
          <w:rFonts w:cs="Arial"/>
          <w:szCs w:val="22"/>
          <w:shd w:val="clear" w:color="auto" w:fill="FFFFFF"/>
        </w:rPr>
      </w:pPr>
    </w:p>
    <w:p w14:paraId="01915943" w14:textId="77777777" w:rsidR="00F53AB1" w:rsidRPr="00A85FEA" w:rsidRDefault="00F53AB1" w:rsidP="00E25092">
      <w:pPr>
        <w:jc w:val="both"/>
        <w:rPr>
          <w:rFonts w:cs="Arial"/>
          <w:szCs w:val="22"/>
        </w:rPr>
      </w:pPr>
      <w:r w:rsidRPr="00A85FEA">
        <w:rPr>
          <w:rFonts w:cs="Arial"/>
          <w:szCs w:val="22"/>
        </w:rPr>
        <w:t>Los saldos en bancos de cuentas corrientes y de ahorro que administren efectivo se medirán por los valores reportados por las entidades financieras en los respectivos extractos bancarios. Las diferencias entre los extractos y los registros contables se reconocerán como cuentas por cobrar, cuentas por pagar, ingresos o gastos, según corresponda, soportado en la conciliación bancaria.</w:t>
      </w:r>
    </w:p>
    <w:p w14:paraId="401A003C" w14:textId="77777777" w:rsidR="00F53AB1" w:rsidRPr="00A85FEA" w:rsidRDefault="00F53AB1" w:rsidP="00E25092">
      <w:pPr>
        <w:pStyle w:val="Ttulo1"/>
        <w:rPr>
          <w:rFonts w:ascii="Arial" w:hAnsi="Arial" w:cs="Arial"/>
          <w:color w:val="auto"/>
          <w:sz w:val="22"/>
          <w:szCs w:val="22"/>
        </w:rPr>
      </w:pPr>
      <w:bookmarkStart w:id="54" w:name="_Toc525721354"/>
      <w:r w:rsidRPr="00A85FEA">
        <w:rPr>
          <w:rFonts w:ascii="Arial" w:hAnsi="Arial" w:cs="Arial"/>
          <w:color w:val="auto"/>
          <w:sz w:val="22"/>
          <w:szCs w:val="22"/>
        </w:rPr>
        <w:t>1.7. Gestión de riesgos</w:t>
      </w:r>
      <w:bookmarkEnd w:id="54"/>
    </w:p>
    <w:p w14:paraId="4087CDAC" w14:textId="77777777" w:rsidR="00F53AB1" w:rsidRPr="00A85FEA" w:rsidRDefault="00F53AB1" w:rsidP="00D87929">
      <w:pPr>
        <w:rPr>
          <w:rFonts w:cs="Arial"/>
          <w:bCs/>
          <w:iCs/>
          <w:szCs w:val="22"/>
        </w:rPr>
      </w:pPr>
    </w:p>
    <w:p w14:paraId="34EA168D" w14:textId="77777777" w:rsidR="00F53AB1" w:rsidRPr="00A85FEA" w:rsidRDefault="00F53AB1" w:rsidP="00E25092">
      <w:pPr>
        <w:jc w:val="both"/>
        <w:rPr>
          <w:rFonts w:cs="Arial"/>
          <w:bCs/>
          <w:iCs/>
          <w:szCs w:val="22"/>
        </w:rPr>
      </w:pPr>
      <w:r w:rsidRPr="00A85FEA">
        <w:rPr>
          <w:rFonts w:cs="Arial"/>
          <w:bCs/>
          <w:iCs/>
          <w:szCs w:val="22"/>
        </w:rPr>
        <w:t>Riesgo de fraude por descuido en la seguridad en las claves y los equipo</w:t>
      </w:r>
      <w:r w:rsidR="0037435B" w:rsidRPr="00A85FEA">
        <w:rPr>
          <w:rFonts w:cs="Arial"/>
          <w:bCs/>
          <w:iCs/>
          <w:szCs w:val="22"/>
        </w:rPr>
        <w:t>s</w:t>
      </w:r>
      <w:r w:rsidRPr="00A85FEA">
        <w:rPr>
          <w:rFonts w:cs="Arial"/>
          <w:bCs/>
          <w:iCs/>
          <w:szCs w:val="22"/>
        </w:rPr>
        <w:t xml:space="preserve"> </w:t>
      </w:r>
    </w:p>
    <w:p w14:paraId="136FFB9D" w14:textId="77777777" w:rsidR="00F53AB1" w:rsidRPr="00A85FEA" w:rsidRDefault="00F53AB1" w:rsidP="00E25092">
      <w:pPr>
        <w:jc w:val="both"/>
        <w:rPr>
          <w:rFonts w:cs="Arial"/>
          <w:bCs/>
          <w:iCs/>
          <w:szCs w:val="22"/>
        </w:rPr>
      </w:pPr>
      <w:r w:rsidRPr="00A85FEA">
        <w:rPr>
          <w:rFonts w:cs="Arial"/>
          <w:bCs/>
          <w:iCs/>
          <w:szCs w:val="22"/>
        </w:rPr>
        <w:t>Riesgo de realizar transferencias electrónicas al beneficiario equivocado</w:t>
      </w:r>
    </w:p>
    <w:p w14:paraId="4A146816" w14:textId="77777777" w:rsidR="00F53AB1" w:rsidRPr="00A85FEA" w:rsidRDefault="00F53AB1" w:rsidP="00E25092">
      <w:pPr>
        <w:jc w:val="both"/>
        <w:rPr>
          <w:rFonts w:cs="Arial"/>
          <w:bCs/>
          <w:iCs/>
          <w:szCs w:val="22"/>
        </w:rPr>
      </w:pPr>
      <w:r w:rsidRPr="00A85FEA">
        <w:rPr>
          <w:rFonts w:cs="Arial"/>
          <w:bCs/>
          <w:iCs/>
          <w:szCs w:val="22"/>
        </w:rPr>
        <w:t>Riesgo de cuentas inactivas</w:t>
      </w:r>
    </w:p>
    <w:p w14:paraId="0BE9FAB9" w14:textId="77777777" w:rsidR="00F53AB1" w:rsidRPr="00A85FEA" w:rsidRDefault="00F53AB1" w:rsidP="0037435B">
      <w:pPr>
        <w:pStyle w:val="Ttulo1"/>
        <w:rPr>
          <w:rFonts w:ascii="Arial" w:hAnsi="Arial" w:cs="Arial"/>
          <w:color w:val="auto"/>
          <w:sz w:val="22"/>
          <w:szCs w:val="22"/>
        </w:rPr>
      </w:pPr>
      <w:bookmarkStart w:id="55" w:name="_Toc525721355"/>
      <w:r w:rsidRPr="00A85FEA">
        <w:rPr>
          <w:rFonts w:ascii="Arial" w:hAnsi="Arial" w:cs="Arial"/>
          <w:color w:val="auto"/>
          <w:sz w:val="22"/>
          <w:szCs w:val="22"/>
        </w:rPr>
        <w:t>1.8. Controles Contables</w:t>
      </w:r>
      <w:bookmarkEnd w:id="55"/>
    </w:p>
    <w:p w14:paraId="2A443FCF" w14:textId="77777777" w:rsidR="00F53AB1" w:rsidRPr="00A85FEA" w:rsidRDefault="00F53AB1" w:rsidP="00D87929">
      <w:pPr>
        <w:rPr>
          <w:rStyle w:val="apple-converted-space"/>
          <w:rFonts w:cs="Arial"/>
          <w:szCs w:val="22"/>
          <w:shd w:val="clear" w:color="auto" w:fill="FFFFFF"/>
        </w:rPr>
      </w:pPr>
    </w:p>
    <w:p w14:paraId="1750AF4F" w14:textId="77777777" w:rsidR="00F53AB1" w:rsidRPr="00A85FEA" w:rsidRDefault="00F53AB1" w:rsidP="0037435B">
      <w:pPr>
        <w:jc w:val="both"/>
        <w:rPr>
          <w:rStyle w:val="apple-converted-space"/>
          <w:rFonts w:cs="Arial"/>
          <w:szCs w:val="22"/>
          <w:shd w:val="clear" w:color="auto" w:fill="FFFFFF"/>
        </w:rPr>
      </w:pPr>
      <w:r w:rsidRPr="00A85FEA">
        <w:rPr>
          <w:rStyle w:val="apple-converted-space"/>
          <w:rFonts w:cs="Arial"/>
          <w:szCs w:val="22"/>
          <w:shd w:val="clear" w:color="auto" w:fill="FFFFFF"/>
        </w:rPr>
        <w:t>El funcionario con el cargo de Tesorero y el funcionario con cargo de subdirector administrativo guardaran todas las medidas de seguridad recomendadas por las instituciones financieras para para los usuarios de la banca electrónica</w:t>
      </w:r>
      <w:r w:rsidR="007D4AC1">
        <w:rPr>
          <w:rStyle w:val="apple-converted-space"/>
          <w:rFonts w:cs="Arial"/>
          <w:szCs w:val="22"/>
          <w:shd w:val="clear" w:color="auto" w:fill="FFFFFF"/>
        </w:rPr>
        <w:t>.</w:t>
      </w:r>
    </w:p>
    <w:p w14:paraId="0D622BA4" w14:textId="77777777" w:rsidR="00F53AB1" w:rsidRPr="00A85FEA" w:rsidRDefault="00F53AB1" w:rsidP="0037435B">
      <w:pPr>
        <w:jc w:val="both"/>
        <w:rPr>
          <w:rStyle w:val="apple-converted-space"/>
          <w:rFonts w:cs="Arial"/>
          <w:szCs w:val="22"/>
          <w:shd w:val="clear" w:color="auto" w:fill="FFFFFF"/>
        </w:rPr>
      </w:pPr>
      <w:r w:rsidRPr="00A85FEA">
        <w:rPr>
          <w:rStyle w:val="apple-converted-space"/>
          <w:rFonts w:cs="Arial"/>
          <w:szCs w:val="22"/>
          <w:shd w:val="clear" w:color="auto" w:fill="FFFFFF"/>
        </w:rPr>
        <w:t>Contabilidad realiza mensualmente las conciliaciones bancarias dentro de los veinte días siguientes al cierre de contabilidad del mes.</w:t>
      </w:r>
    </w:p>
    <w:p w14:paraId="0A30E010" w14:textId="77777777" w:rsidR="00F53AB1" w:rsidRPr="00A85FEA" w:rsidRDefault="00F53AB1" w:rsidP="0037435B">
      <w:pPr>
        <w:jc w:val="both"/>
        <w:rPr>
          <w:rStyle w:val="apple-converted-space"/>
          <w:rFonts w:cs="Arial"/>
          <w:szCs w:val="22"/>
          <w:shd w:val="clear" w:color="auto" w:fill="FFFFFF"/>
        </w:rPr>
      </w:pPr>
      <w:r w:rsidRPr="00A85FEA">
        <w:rPr>
          <w:rFonts w:cs="Arial"/>
          <w:szCs w:val="22"/>
        </w:rPr>
        <w:t>Comparará los movimientos de los libros auxiliares de bancos, con los extractos emitidos por las instituciones Financieras</w:t>
      </w:r>
      <w:r w:rsidRPr="00A85FEA">
        <w:rPr>
          <w:rStyle w:val="apple-converted-space"/>
          <w:rFonts w:cs="Arial"/>
          <w:szCs w:val="22"/>
          <w:shd w:val="clear" w:color="auto" w:fill="FFFFFF"/>
        </w:rPr>
        <w:t xml:space="preserve"> (ver procedimiento de conciliaciones).</w:t>
      </w:r>
    </w:p>
    <w:p w14:paraId="1010831B" w14:textId="77777777" w:rsidR="00F53AB1" w:rsidRPr="00A85FEA" w:rsidRDefault="00F53AB1" w:rsidP="0037435B">
      <w:pPr>
        <w:jc w:val="both"/>
        <w:rPr>
          <w:rFonts w:cs="Arial"/>
          <w:szCs w:val="22"/>
          <w:shd w:val="clear" w:color="auto" w:fill="FFFFFF"/>
        </w:rPr>
      </w:pPr>
      <w:r w:rsidRPr="00A85FEA">
        <w:rPr>
          <w:rFonts w:cs="Arial"/>
          <w:szCs w:val="22"/>
        </w:rPr>
        <w:t xml:space="preserve">Después de la comparación pueden quedar partidas conciliatorias, ajustes, reclasificaciones, de acuerdo a lo establecido en el Procedimiento Conciliaciones Bancarias. </w:t>
      </w:r>
    </w:p>
    <w:p w14:paraId="64826C9C" w14:textId="77777777" w:rsidR="00F53AB1" w:rsidRPr="00A85FEA" w:rsidRDefault="00F53AB1" w:rsidP="0037435B">
      <w:pPr>
        <w:jc w:val="both"/>
        <w:rPr>
          <w:rStyle w:val="apple-converted-space"/>
          <w:rFonts w:cs="Arial"/>
          <w:szCs w:val="22"/>
          <w:shd w:val="clear" w:color="auto" w:fill="FFFFFF"/>
        </w:rPr>
      </w:pPr>
      <w:r w:rsidRPr="00A85FEA">
        <w:rPr>
          <w:rFonts w:cs="Arial"/>
          <w:szCs w:val="22"/>
        </w:rPr>
        <w:t>Se conservan en medio magnético, más la impresión en papel firmada por el funcionario de tesorería y Subdirectora administrativa y financiera.</w:t>
      </w:r>
    </w:p>
    <w:p w14:paraId="7A8D99A6" w14:textId="77777777" w:rsidR="00F53AB1" w:rsidRPr="00A85FEA" w:rsidRDefault="00F53AB1" w:rsidP="0037435B">
      <w:pPr>
        <w:jc w:val="both"/>
        <w:rPr>
          <w:rStyle w:val="apple-converted-space"/>
          <w:rFonts w:cs="Arial"/>
          <w:szCs w:val="22"/>
          <w:shd w:val="clear" w:color="auto" w:fill="FFFFFF"/>
        </w:rPr>
      </w:pPr>
      <w:r w:rsidRPr="00A85FEA">
        <w:rPr>
          <w:rStyle w:val="apple-converted-space"/>
          <w:rFonts w:cs="Arial"/>
          <w:szCs w:val="22"/>
          <w:shd w:val="clear" w:color="auto" w:fill="FFFFFF"/>
        </w:rPr>
        <w:lastRenderedPageBreak/>
        <w:t xml:space="preserve">Se </w:t>
      </w:r>
      <w:r w:rsidR="0037435B" w:rsidRPr="00A85FEA">
        <w:rPr>
          <w:rStyle w:val="apple-converted-space"/>
          <w:rFonts w:cs="Arial"/>
          <w:szCs w:val="22"/>
          <w:shd w:val="clear" w:color="auto" w:fill="FFFFFF"/>
        </w:rPr>
        <w:t>registra contablemente las nota</w:t>
      </w:r>
      <w:r w:rsidRPr="00A85FEA">
        <w:rPr>
          <w:rStyle w:val="apple-converted-space"/>
          <w:rFonts w:cs="Arial"/>
          <w:szCs w:val="22"/>
          <w:shd w:val="clear" w:color="auto" w:fill="FFFFFF"/>
        </w:rPr>
        <w:t xml:space="preserve"> débito y crédito a que haya lugar, como son: comisiones bancarias, rendimientos financieros y gravamen a los movimientos financieros, afectando el resultado del periodo.</w:t>
      </w:r>
    </w:p>
    <w:p w14:paraId="254C749C" w14:textId="77777777" w:rsidR="00F53AB1" w:rsidRPr="00A85FEA" w:rsidRDefault="00F53AB1" w:rsidP="0037435B">
      <w:pPr>
        <w:jc w:val="both"/>
        <w:rPr>
          <w:rStyle w:val="apple-converted-space"/>
          <w:rFonts w:cs="Arial"/>
          <w:szCs w:val="22"/>
          <w:shd w:val="clear" w:color="auto" w:fill="FFFFFF"/>
        </w:rPr>
      </w:pPr>
      <w:r w:rsidRPr="00A85FEA">
        <w:rPr>
          <w:rStyle w:val="apple-converted-space"/>
          <w:rFonts w:cs="Arial"/>
          <w:szCs w:val="22"/>
          <w:shd w:val="clear" w:color="auto" w:fill="FFFFFF"/>
        </w:rPr>
        <w:t>Las consignaciones sin identificar se reconocerán en la cuenta recaudos por clasificar para reflejar la realidad del efectivo.</w:t>
      </w:r>
    </w:p>
    <w:p w14:paraId="01224F88" w14:textId="77777777" w:rsidR="00F53AB1" w:rsidRPr="00A85FEA" w:rsidRDefault="00F53AB1" w:rsidP="0037435B">
      <w:pPr>
        <w:jc w:val="both"/>
        <w:rPr>
          <w:rStyle w:val="apple-converted-space"/>
          <w:rFonts w:cs="Arial"/>
          <w:szCs w:val="22"/>
          <w:shd w:val="clear" w:color="auto" w:fill="FFFFFF"/>
        </w:rPr>
      </w:pPr>
      <w:r w:rsidRPr="00A85FEA">
        <w:rPr>
          <w:rStyle w:val="apple-converted-space"/>
          <w:rFonts w:cs="Arial"/>
          <w:szCs w:val="22"/>
          <w:shd w:val="clear" w:color="auto" w:fill="FFFFFF"/>
        </w:rPr>
        <w:t>La tesorera verificara los datos del tercero, valor y producto destino antes de transferir cualquier valor del efectivo.</w:t>
      </w:r>
    </w:p>
    <w:p w14:paraId="1C51B321" w14:textId="77777777" w:rsidR="00F53AB1" w:rsidRPr="00A85FEA" w:rsidRDefault="00F53AB1" w:rsidP="0037435B">
      <w:pPr>
        <w:jc w:val="both"/>
        <w:rPr>
          <w:rFonts w:cs="Arial"/>
          <w:szCs w:val="22"/>
        </w:rPr>
      </w:pPr>
      <w:r w:rsidRPr="00A85FEA">
        <w:rPr>
          <w:rStyle w:val="apple-converted-space"/>
          <w:rFonts w:cs="Arial"/>
          <w:b/>
          <w:szCs w:val="22"/>
          <w:shd w:val="clear" w:color="auto" w:fill="FFFFFF"/>
        </w:rPr>
        <w:t>Los cheque no cobrados o por reclamar</w:t>
      </w:r>
      <w:r w:rsidRPr="00A85FEA">
        <w:rPr>
          <w:rStyle w:val="apple-converted-space"/>
          <w:rFonts w:cs="Arial"/>
          <w:szCs w:val="22"/>
          <w:shd w:val="clear" w:color="auto" w:fill="FFFFFF"/>
        </w:rPr>
        <w:t xml:space="preserve">: </w:t>
      </w:r>
      <w:r w:rsidRPr="00A85FEA">
        <w:rPr>
          <w:rFonts w:cs="Arial"/>
          <w:szCs w:val="22"/>
        </w:rPr>
        <w:t xml:space="preserve">el </w:t>
      </w:r>
      <w:r w:rsidRPr="00A85FEA">
        <w:rPr>
          <w:rFonts w:cs="Arial"/>
          <w:spacing w:val="2"/>
          <w:szCs w:val="22"/>
        </w:rPr>
        <w:t xml:space="preserve"> </w:t>
      </w:r>
      <w:r w:rsidRPr="00A85FEA">
        <w:rPr>
          <w:rFonts w:cs="Arial"/>
          <w:spacing w:val="-2"/>
          <w:szCs w:val="22"/>
        </w:rPr>
        <w:t>v</w:t>
      </w:r>
      <w:r w:rsidRPr="00A85FEA">
        <w:rPr>
          <w:rFonts w:cs="Arial"/>
          <w:szCs w:val="22"/>
        </w:rPr>
        <w:t>a</w:t>
      </w:r>
      <w:r w:rsidRPr="00A85FEA">
        <w:rPr>
          <w:rFonts w:cs="Arial"/>
          <w:spacing w:val="-1"/>
          <w:szCs w:val="22"/>
        </w:rPr>
        <w:t>l</w:t>
      </w:r>
      <w:r w:rsidRPr="00A85FEA">
        <w:rPr>
          <w:rFonts w:cs="Arial"/>
          <w:szCs w:val="22"/>
        </w:rPr>
        <w:t xml:space="preserve">or </w:t>
      </w:r>
      <w:r w:rsidRPr="00A85FEA">
        <w:rPr>
          <w:rFonts w:cs="Arial"/>
          <w:spacing w:val="6"/>
          <w:szCs w:val="22"/>
        </w:rPr>
        <w:t xml:space="preserve"> </w:t>
      </w:r>
      <w:r w:rsidRPr="00A85FEA">
        <w:rPr>
          <w:rFonts w:cs="Arial"/>
          <w:szCs w:val="22"/>
        </w:rPr>
        <w:t xml:space="preserve">de </w:t>
      </w:r>
      <w:r w:rsidRPr="00A85FEA">
        <w:rPr>
          <w:rFonts w:cs="Arial"/>
          <w:spacing w:val="3"/>
          <w:szCs w:val="22"/>
        </w:rPr>
        <w:t xml:space="preserve"> </w:t>
      </w:r>
      <w:r w:rsidRPr="00A85FEA">
        <w:rPr>
          <w:rFonts w:cs="Arial"/>
          <w:spacing w:val="-1"/>
          <w:szCs w:val="22"/>
        </w:rPr>
        <w:t>l</w:t>
      </w:r>
      <w:r w:rsidRPr="00A85FEA">
        <w:rPr>
          <w:rFonts w:cs="Arial"/>
          <w:szCs w:val="22"/>
        </w:rPr>
        <w:t xml:space="preserve">os </w:t>
      </w:r>
      <w:r w:rsidRPr="00A85FEA">
        <w:rPr>
          <w:rFonts w:cs="Arial"/>
          <w:spacing w:val="5"/>
          <w:szCs w:val="22"/>
        </w:rPr>
        <w:t xml:space="preserve"> </w:t>
      </w:r>
      <w:r w:rsidRPr="00A85FEA">
        <w:rPr>
          <w:rFonts w:cs="Arial"/>
          <w:szCs w:val="22"/>
        </w:rPr>
        <w:t>ch</w:t>
      </w:r>
      <w:r w:rsidRPr="00A85FEA">
        <w:rPr>
          <w:rFonts w:cs="Arial"/>
          <w:spacing w:val="-3"/>
          <w:szCs w:val="22"/>
        </w:rPr>
        <w:t>e</w:t>
      </w:r>
      <w:r w:rsidRPr="00A85FEA">
        <w:rPr>
          <w:rFonts w:cs="Arial"/>
          <w:spacing w:val="2"/>
          <w:szCs w:val="22"/>
        </w:rPr>
        <w:t>q</w:t>
      </w:r>
      <w:r w:rsidRPr="00A85FEA">
        <w:rPr>
          <w:rFonts w:cs="Arial"/>
          <w:szCs w:val="22"/>
        </w:rPr>
        <w:t>u</w:t>
      </w:r>
      <w:r w:rsidRPr="00A85FEA">
        <w:rPr>
          <w:rFonts w:cs="Arial"/>
          <w:spacing w:val="-3"/>
          <w:szCs w:val="22"/>
        </w:rPr>
        <w:t>e</w:t>
      </w:r>
      <w:r w:rsidRPr="00A85FEA">
        <w:rPr>
          <w:rFonts w:cs="Arial"/>
          <w:szCs w:val="22"/>
        </w:rPr>
        <w:t xml:space="preserve">s </w:t>
      </w:r>
      <w:r w:rsidRPr="00A85FEA">
        <w:rPr>
          <w:rFonts w:cs="Arial"/>
          <w:spacing w:val="3"/>
          <w:szCs w:val="22"/>
        </w:rPr>
        <w:t xml:space="preserve"> </w:t>
      </w:r>
      <w:r w:rsidRPr="00A85FEA">
        <w:rPr>
          <w:rFonts w:cs="Arial"/>
          <w:spacing w:val="2"/>
          <w:szCs w:val="22"/>
        </w:rPr>
        <w:t>g</w:t>
      </w:r>
      <w:r w:rsidRPr="00A85FEA">
        <w:rPr>
          <w:rFonts w:cs="Arial"/>
          <w:spacing w:val="-1"/>
          <w:szCs w:val="22"/>
        </w:rPr>
        <w:t>i</w:t>
      </w:r>
      <w:r w:rsidRPr="00A85FEA">
        <w:rPr>
          <w:rFonts w:cs="Arial"/>
          <w:spacing w:val="1"/>
          <w:szCs w:val="22"/>
        </w:rPr>
        <w:t>r</w:t>
      </w:r>
      <w:r w:rsidRPr="00A85FEA">
        <w:rPr>
          <w:rFonts w:cs="Arial"/>
          <w:szCs w:val="22"/>
        </w:rPr>
        <w:t>a</w:t>
      </w:r>
      <w:r w:rsidRPr="00A85FEA">
        <w:rPr>
          <w:rFonts w:cs="Arial"/>
          <w:spacing w:val="-1"/>
          <w:szCs w:val="22"/>
        </w:rPr>
        <w:t>d</w:t>
      </w:r>
      <w:r w:rsidRPr="00A85FEA">
        <w:rPr>
          <w:rFonts w:cs="Arial"/>
          <w:szCs w:val="22"/>
        </w:rPr>
        <w:t>os  y e</w:t>
      </w:r>
      <w:r w:rsidRPr="00A85FEA">
        <w:rPr>
          <w:rFonts w:cs="Arial"/>
          <w:spacing w:val="-1"/>
          <w:szCs w:val="22"/>
        </w:rPr>
        <w:t>n</w:t>
      </w:r>
      <w:r w:rsidRPr="00A85FEA">
        <w:rPr>
          <w:rFonts w:cs="Arial"/>
          <w:spacing w:val="1"/>
          <w:szCs w:val="22"/>
        </w:rPr>
        <w:t>tr</w:t>
      </w:r>
      <w:r w:rsidRPr="00A85FEA">
        <w:rPr>
          <w:rFonts w:cs="Arial"/>
          <w:spacing w:val="-3"/>
          <w:szCs w:val="22"/>
        </w:rPr>
        <w:t>e</w:t>
      </w:r>
      <w:r w:rsidRPr="00A85FEA">
        <w:rPr>
          <w:rFonts w:cs="Arial"/>
          <w:spacing w:val="2"/>
          <w:szCs w:val="22"/>
        </w:rPr>
        <w:t>g</w:t>
      </w:r>
      <w:r w:rsidRPr="00A85FEA">
        <w:rPr>
          <w:rFonts w:cs="Arial"/>
          <w:szCs w:val="22"/>
        </w:rPr>
        <w:t>a</w:t>
      </w:r>
      <w:r w:rsidRPr="00A85FEA">
        <w:rPr>
          <w:rFonts w:cs="Arial"/>
          <w:spacing w:val="-1"/>
          <w:szCs w:val="22"/>
        </w:rPr>
        <w:t>d</w:t>
      </w:r>
      <w:r w:rsidRPr="00A85FEA">
        <w:rPr>
          <w:rFonts w:cs="Arial"/>
          <w:szCs w:val="22"/>
        </w:rPr>
        <w:t>os</w:t>
      </w:r>
      <w:r w:rsidRPr="00A85FEA">
        <w:rPr>
          <w:rFonts w:cs="Arial"/>
          <w:spacing w:val="61"/>
          <w:szCs w:val="22"/>
        </w:rPr>
        <w:t xml:space="preserve"> </w:t>
      </w:r>
      <w:r w:rsidRPr="00A85FEA">
        <w:rPr>
          <w:rFonts w:cs="Arial"/>
          <w:szCs w:val="22"/>
        </w:rPr>
        <w:t xml:space="preserve">a </w:t>
      </w:r>
      <w:r w:rsidRPr="00A85FEA">
        <w:rPr>
          <w:rFonts w:cs="Arial"/>
          <w:spacing w:val="2"/>
          <w:szCs w:val="22"/>
        </w:rPr>
        <w:t xml:space="preserve"> </w:t>
      </w:r>
      <w:r w:rsidRPr="00A85FEA">
        <w:rPr>
          <w:rFonts w:cs="Arial"/>
          <w:spacing w:val="1"/>
          <w:szCs w:val="22"/>
        </w:rPr>
        <w:t>t</w:t>
      </w:r>
      <w:r w:rsidRPr="00A85FEA">
        <w:rPr>
          <w:rFonts w:cs="Arial"/>
          <w:spacing w:val="-3"/>
          <w:szCs w:val="22"/>
        </w:rPr>
        <w:t>e</w:t>
      </w:r>
      <w:r w:rsidRPr="00A85FEA">
        <w:rPr>
          <w:rFonts w:cs="Arial"/>
          <w:spacing w:val="1"/>
          <w:szCs w:val="22"/>
        </w:rPr>
        <w:t>r</w:t>
      </w:r>
      <w:r w:rsidRPr="00A85FEA">
        <w:rPr>
          <w:rFonts w:cs="Arial"/>
          <w:szCs w:val="22"/>
        </w:rPr>
        <w:t>ce</w:t>
      </w:r>
      <w:r w:rsidRPr="00A85FEA">
        <w:rPr>
          <w:rFonts w:cs="Arial"/>
          <w:spacing w:val="-2"/>
          <w:szCs w:val="22"/>
        </w:rPr>
        <w:t>r</w:t>
      </w:r>
      <w:r w:rsidRPr="00A85FEA">
        <w:rPr>
          <w:rFonts w:cs="Arial"/>
          <w:szCs w:val="22"/>
        </w:rPr>
        <w:t>os y/o en custodia de la entidad</w:t>
      </w:r>
      <w:r w:rsidRPr="00A85FEA">
        <w:rPr>
          <w:rFonts w:cs="Arial"/>
          <w:spacing w:val="2"/>
          <w:szCs w:val="22"/>
        </w:rPr>
        <w:t xml:space="preserve"> q</w:t>
      </w:r>
      <w:r w:rsidRPr="00A85FEA">
        <w:rPr>
          <w:rFonts w:cs="Arial"/>
          <w:szCs w:val="22"/>
        </w:rPr>
        <w:t xml:space="preserve">ue </w:t>
      </w:r>
      <w:r w:rsidRPr="00A85FEA">
        <w:rPr>
          <w:rFonts w:cs="Arial"/>
          <w:spacing w:val="2"/>
          <w:szCs w:val="22"/>
        </w:rPr>
        <w:t xml:space="preserve"> </w:t>
      </w:r>
      <w:r w:rsidRPr="00A85FEA">
        <w:rPr>
          <w:rFonts w:cs="Arial"/>
          <w:szCs w:val="22"/>
        </w:rPr>
        <w:t>no</w:t>
      </w:r>
      <w:r w:rsidRPr="00A85FEA">
        <w:rPr>
          <w:rFonts w:cs="Arial"/>
          <w:spacing w:val="61"/>
          <w:szCs w:val="22"/>
        </w:rPr>
        <w:t xml:space="preserve"> </w:t>
      </w:r>
      <w:r w:rsidRPr="00A85FEA">
        <w:rPr>
          <w:rFonts w:cs="Arial"/>
          <w:szCs w:val="22"/>
        </w:rPr>
        <w:t>h</w:t>
      </w:r>
      <w:r w:rsidRPr="00A85FEA">
        <w:rPr>
          <w:rFonts w:cs="Arial"/>
          <w:spacing w:val="-1"/>
          <w:szCs w:val="22"/>
        </w:rPr>
        <w:t>a</w:t>
      </w:r>
      <w:r w:rsidRPr="00A85FEA">
        <w:rPr>
          <w:rFonts w:cs="Arial"/>
          <w:spacing w:val="-2"/>
          <w:szCs w:val="22"/>
        </w:rPr>
        <w:t>y</w:t>
      </w:r>
      <w:r w:rsidRPr="00A85FEA">
        <w:rPr>
          <w:rFonts w:cs="Arial"/>
          <w:szCs w:val="22"/>
        </w:rPr>
        <w:t xml:space="preserve">an </w:t>
      </w:r>
      <w:r w:rsidRPr="00A85FEA">
        <w:rPr>
          <w:rFonts w:cs="Arial"/>
          <w:spacing w:val="2"/>
          <w:szCs w:val="22"/>
        </w:rPr>
        <w:t xml:space="preserve"> </w:t>
      </w:r>
      <w:r w:rsidRPr="00A85FEA">
        <w:rPr>
          <w:rFonts w:cs="Arial"/>
          <w:szCs w:val="22"/>
        </w:rPr>
        <w:t>s</w:t>
      </w:r>
      <w:r w:rsidRPr="00A85FEA">
        <w:rPr>
          <w:rFonts w:cs="Arial"/>
          <w:spacing w:val="-1"/>
          <w:szCs w:val="22"/>
        </w:rPr>
        <w:t>i</w:t>
      </w:r>
      <w:r w:rsidRPr="00A85FEA">
        <w:rPr>
          <w:rFonts w:cs="Arial"/>
          <w:szCs w:val="22"/>
        </w:rPr>
        <w:t xml:space="preserve">do </w:t>
      </w:r>
      <w:r w:rsidRPr="00A85FEA">
        <w:rPr>
          <w:rFonts w:cs="Arial"/>
          <w:spacing w:val="2"/>
          <w:szCs w:val="22"/>
        </w:rPr>
        <w:t xml:space="preserve"> </w:t>
      </w:r>
      <w:r w:rsidRPr="00A85FEA">
        <w:rPr>
          <w:rFonts w:cs="Arial"/>
          <w:szCs w:val="22"/>
        </w:rPr>
        <w:t>co</w:t>
      </w:r>
      <w:r w:rsidRPr="00A85FEA">
        <w:rPr>
          <w:rFonts w:cs="Arial"/>
          <w:spacing w:val="-1"/>
          <w:szCs w:val="22"/>
        </w:rPr>
        <w:t>b</w:t>
      </w:r>
      <w:r w:rsidRPr="00A85FEA">
        <w:rPr>
          <w:rFonts w:cs="Arial"/>
          <w:spacing w:val="1"/>
          <w:szCs w:val="22"/>
        </w:rPr>
        <w:t>r</w:t>
      </w:r>
      <w:r w:rsidRPr="00A85FEA">
        <w:rPr>
          <w:rFonts w:cs="Arial"/>
          <w:szCs w:val="22"/>
        </w:rPr>
        <w:t>a</w:t>
      </w:r>
      <w:r w:rsidRPr="00A85FEA">
        <w:rPr>
          <w:rFonts w:cs="Arial"/>
          <w:spacing w:val="-1"/>
          <w:szCs w:val="22"/>
        </w:rPr>
        <w:t>d</w:t>
      </w:r>
      <w:r w:rsidRPr="00A85FEA">
        <w:rPr>
          <w:rFonts w:cs="Arial"/>
          <w:szCs w:val="22"/>
        </w:rPr>
        <w:t xml:space="preserve">os </w:t>
      </w:r>
      <w:r w:rsidRPr="00A85FEA">
        <w:rPr>
          <w:rFonts w:cs="Arial"/>
          <w:spacing w:val="2"/>
          <w:szCs w:val="22"/>
        </w:rPr>
        <w:t xml:space="preserve"> </w:t>
      </w:r>
      <w:r w:rsidRPr="00A85FEA">
        <w:rPr>
          <w:rFonts w:cs="Arial"/>
          <w:szCs w:val="22"/>
        </w:rPr>
        <w:t>p</w:t>
      </w:r>
      <w:r w:rsidRPr="00A85FEA">
        <w:rPr>
          <w:rFonts w:cs="Arial"/>
          <w:spacing w:val="-1"/>
          <w:szCs w:val="22"/>
        </w:rPr>
        <w:t>a</w:t>
      </w:r>
      <w:r w:rsidRPr="00A85FEA">
        <w:rPr>
          <w:rFonts w:cs="Arial"/>
          <w:szCs w:val="22"/>
        </w:rPr>
        <w:t>sa</w:t>
      </w:r>
      <w:r w:rsidRPr="00A85FEA">
        <w:rPr>
          <w:rFonts w:cs="Arial"/>
          <w:spacing w:val="-1"/>
          <w:szCs w:val="22"/>
        </w:rPr>
        <w:t>d</w:t>
      </w:r>
      <w:r w:rsidRPr="00A85FEA">
        <w:rPr>
          <w:rFonts w:cs="Arial"/>
          <w:szCs w:val="22"/>
        </w:rPr>
        <w:t>os  se</w:t>
      </w:r>
      <w:r w:rsidRPr="00A85FEA">
        <w:rPr>
          <w:rFonts w:cs="Arial"/>
          <w:spacing w:val="-1"/>
          <w:szCs w:val="22"/>
        </w:rPr>
        <w:t>i</w:t>
      </w:r>
      <w:r w:rsidRPr="00A85FEA">
        <w:rPr>
          <w:rFonts w:cs="Arial"/>
          <w:szCs w:val="22"/>
        </w:rPr>
        <w:t xml:space="preserve">s </w:t>
      </w:r>
      <w:r w:rsidRPr="00A85FEA">
        <w:rPr>
          <w:rFonts w:cs="Arial"/>
          <w:spacing w:val="3"/>
          <w:szCs w:val="22"/>
        </w:rPr>
        <w:t xml:space="preserve"> </w:t>
      </w:r>
      <w:r w:rsidRPr="00A85FEA">
        <w:rPr>
          <w:rFonts w:cs="Arial"/>
          <w:spacing w:val="-2"/>
          <w:szCs w:val="22"/>
        </w:rPr>
        <w:t>(</w:t>
      </w:r>
      <w:r w:rsidRPr="00A85FEA">
        <w:rPr>
          <w:rFonts w:cs="Arial"/>
          <w:szCs w:val="22"/>
        </w:rPr>
        <w:t xml:space="preserve">6) </w:t>
      </w:r>
      <w:r w:rsidRPr="00A85FEA">
        <w:rPr>
          <w:rFonts w:cs="Arial"/>
          <w:spacing w:val="3"/>
          <w:szCs w:val="22"/>
        </w:rPr>
        <w:t xml:space="preserve"> </w:t>
      </w:r>
      <w:r w:rsidRPr="00A85FEA">
        <w:rPr>
          <w:rFonts w:cs="Arial"/>
          <w:spacing w:val="1"/>
          <w:szCs w:val="22"/>
        </w:rPr>
        <w:t>m</w:t>
      </w:r>
      <w:r w:rsidRPr="00A85FEA">
        <w:rPr>
          <w:rFonts w:cs="Arial"/>
          <w:spacing w:val="-3"/>
          <w:szCs w:val="22"/>
        </w:rPr>
        <w:t>e</w:t>
      </w:r>
      <w:r w:rsidRPr="00A85FEA">
        <w:rPr>
          <w:rFonts w:cs="Arial"/>
          <w:szCs w:val="22"/>
        </w:rPr>
        <w:t xml:space="preserve">ses </w:t>
      </w:r>
      <w:r w:rsidRPr="00A85FEA">
        <w:rPr>
          <w:rFonts w:cs="Arial"/>
          <w:spacing w:val="2"/>
          <w:szCs w:val="22"/>
        </w:rPr>
        <w:t xml:space="preserve"> </w:t>
      </w:r>
      <w:r w:rsidRPr="00A85FEA">
        <w:rPr>
          <w:rFonts w:cs="Arial"/>
          <w:spacing w:val="-3"/>
          <w:szCs w:val="22"/>
        </w:rPr>
        <w:t>d</w:t>
      </w:r>
      <w:r w:rsidRPr="00A85FEA">
        <w:rPr>
          <w:rFonts w:cs="Arial"/>
          <w:szCs w:val="22"/>
        </w:rPr>
        <w:t xml:space="preserve">e </w:t>
      </w:r>
      <w:r w:rsidRPr="00A85FEA">
        <w:rPr>
          <w:rFonts w:cs="Arial"/>
          <w:spacing w:val="2"/>
          <w:szCs w:val="22"/>
        </w:rPr>
        <w:t>g</w:t>
      </w:r>
      <w:r w:rsidRPr="00A85FEA">
        <w:rPr>
          <w:rFonts w:cs="Arial"/>
          <w:spacing w:val="-1"/>
          <w:szCs w:val="22"/>
        </w:rPr>
        <w:t>i</w:t>
      </w:r>
      <w:r w:rsidRPr="00A85FEA">
        <w:rPr>
          <w:rFonts w:cs="Arial"/>
          <w:spacing w:val="1"/>
          <w:szCs w:val="22"/>
        </w:rPr>
        <w:t>r</w:t>
      </w:r>
      <w:r w:rsidRPr="00A85FEA">
        <w:rPr>
          <w:rFonts w:cs="Arial"/>
          <w:szCs w:val="22"/>
        </w:rPr>
        <w:t>a</w:t>
      </w:r>
      <w:r w:rsidRPr="00A85FEA">
        <w:rPr>
          <w:rFonts w:cs="Arial"/>
          <w:spacing w:val="-1"/>
          <w:szCs w:val="22"/>
        </w:rPr>
        <w:t>d</w:t>
      </w:r>
      <w:r w:rsidRPr="00A85FEA">
        <w:rPr>
          <w:rFonts w:cs="Arial"/>
          <w:szCs w:val="22"/>
        </w:rPr>
        <w:t>o</w:t>
      </w:r>
      <w:r w:rsidRPr="00A85FEA">
        <w:rPr>
          <w:rFonts w:cs="Arial"/>
          <w:spacing w:val="-3"/>
          <w:szCs w:val="22"/>
        </w:rPr>
        <w:t>s</w:t>
      </w:r>
      <w:r w:rsidRPr="00A85FEA">
        <w:rPr>
          <w:rFonts w:cs="Arial"/>
          <w:szCs w:val="22"/>
        </w:rPr>
        <w:t>,</w:t>
      </w:r>
      <w:r w:rsidRPr="00A85FEA">
        <w:rPr>
          <w:rFonts w:cs="Arial"/>
          <w:spacing w:val="2"/>
          <w:szCs w:val="22"/>
        </w:rPr>
        <w:t xml:space="preserve"> </w:t>
      </w:r>
      <w:r w:rsidRPr="00A85FEA">
        <w:rPr>
          <w:rFonts w:cs="Arial"/>
          <w:szCs w:val="22"/>
        </w:rPr>
        <w:t>se</w:t>
      </w:r>
      <w:r w:rsidRPr="00A85FEA">
        <w:rPr>
          <w:rFonts w:cs="Arial"/>
          <w:spacing w:val="3"/>
          <w:szCs w:val="22"/>
        </w:rPr>
        <w:t xml:space="preserve"> </w:t>
      </w:r>
      <w:r w:rsidRPr="00A85FEA">
        <w:rPr>
          <w:rFonts w:cs="Arial"/>
          <w:szCs w:val="22"/>
        </w:rPr>
        <w:t>a</w:t>
      </w:r>
      <w:r w:rsidRPr="00A85FEA">
        <w:rPr>
          <w:rFonts w:cs="Arial"/>
          <w:spacing w:val="-1"/>
          <w:szCs w:val="22"/>
        </w:rPr>
        <w:t>b</w:t>
      </w:r>
      <w:r w:rsidRPr="00A85FEA">
        <w:rPr>
          <w:rFonts w:cs="Arial"/>
          <w:szCs w:val="22"/>
        </w:rPr>
        <w:t>o</w:t>
      </w:r>
      <w:r w:rsidRPr="00A85FEA">
        <w:rPr>
          <w:rFonts w:cs="Arial"/>
          <w:spacing w:val="-1"/>
          <w:szCs w:val="22"/>
        </w:rPr>
        <w:t>n</w:t>
      </w:r>
      <w:r w:rsidRPr="00A85FEA">
        <w:rPr>
          <w:rFonts w:cs="Arial"/>
          <w:szCs w:val="22"/>
        </w:rPr>
        <w:t>an a</w:t>
      </w:r>
      <w:r w:rsidRPr="00A85FEA">
        <w:rPr>
          <w:rFonts w:cs="Arial"/>
          <w:spacing w:val="3"/>
          <w:szCs w:val="22"/>
        </w:rPr>
        <w:t xml:space="preserve"> </w:t>
      </w:r>
      <w:r w:rsidRPr="00A85FEA">
        <w:rPr>
          <w:rFonts w:cs="Arial"/>
          <w:spacing w:val="-3"/>
          <w:szCs w:val="22"/>
        </w:rPr>
        <w:t>l</w:t>
      </w:r>
      <w:r w:rsidRPr="00A85FEA">
        <w:rPr>
          <w:rFonts w:cs="Arial"/>
          <w:szCs w:val="22"/>
        </w:rPr>
        <w:t>a</w:t>
      </w:r>
      <w:r w:rsidRPr="00A85FEA">
        <w:rPr>
          <w:rFonts w:cs="Arial"/>
          <w:spacing w:val="3"/>
          <w:szCs w:val="22"/>
        </w:rPr>
        <w:t xml:space="preserve"> </w:t>
      </w:r>
      <w:r w:rsidRPr="00A85FEA">
        <w:rPr>
          <w:rFonts w:cs="Arial"/>
          <w:szCs w:val="22"/>
        </w:rPr>
        <w:t>cu</w:t>
      </w:r>
      <w:r w:rsidRPr="00A85FEA">
        <w:rPr>
          <w:rFonts w:cs="Arial"/>
          <w:spacing w:val="-1"/>
          <w:szCs w:val="22"/>
        </w:rPr>
        <w:t>e</w:t>
      </w:r>
      <w:r w:rsidRPr="00A85FEA">
        <w:rPr>
          <w:rFonts w:cs="Arial"/>
          <w:szCs w:val="22"/>
        </w:rPr>
        <w:t>nta</w:t>
      </w:r>
      <w:r w:rsidRPr="00A85FEA">
        <w:rPr>
          <w:rFonts w:cs="Arial"/>
          <w:spacing w:val="3"/>
          <w:szCs w:val="22"/>
        </w:rPr>
        <w:t xml:space="preserve"> </w:t>
      </w:r>
      <w:r w:rsidRPr="00A85FEA">
        <w:rPr>
          <w:rFonts w:cs="Arial"/>
          <w:szCs w:val="22"/>
        </w:rPr>
        <w:t>co</w:t>
      </w:r>
      <w:r w:rsidRPr="00A85FEA">
        <w:rPr>
          <w:rFonts w:cs="Arial"/>
          <w:spacing w:val="-1"/>
          <w:szCs w:val="22"/>
        </w:rPr>
        <w:t>n</w:t>
      </w:r>
      <w:r w:rsidRPr="00A85FEA">
        <w:rPr>
          <w:rFonts w:cs="Arial"/>
          <w:spacing w:val="1"/>
          <w:szCs w:val="22"/>
        </w:rPr>
        <w:t>t</w:t>
      </w:r>
      <w:r w:rsidRPr="00A85FEA">
        <w:rPr>
          <w:rFonts w:cs="Arial"/>
          <w:szCs w:val="22"/>
        </w:rPr>
        <w:t>a</w:t>
      </w:r>
      <w:r w:rsidRPr="00A85FEA">
        <w:rPr>
          <w:rFonts w:cs="Arial"/>
          <w:spacing w:val="-1"/>
          <w:szCs w:val="22"/>
        </w:rPr>
        <w:t>bl</w:t>
      </w:r>
      <w:r w:rsidRPr="00A85FEA">
        <w:rPr>
          <w:rFonts w:cs="Arial"/>
          <w:szCs w:val="22"/>
        </w:rPr>
        <w:t>e 2</w:t>
      </w:r>
      <w:r w:rsidRPr="00A85FEA">
        <w:rPr>
          <w:rFonts w:cs="Arial"/>
          <w:spacing w:val="-1"/>
          <w:szCs w:val="22"/>
        </w:rPr>
        <w:t>4</w:t>
      </w:r>
      <w:r w:rsidRPr="00A85FEA">
        <w:rPr>
          <w:rFonts w:cs="Arial"/>
          <w:spacing w:val="-3"/>
          <w:szCs w:val="22"/>
        </w:rPr>
        <w:t>9</w:t>
      </w:r>
      <w:r w:rsidRPr="00A85FEA">
        <w:rPr>
          <w:rFonts w:cs="Arial"/>
          <w:szCs w:val="22"/>
        </w:rPr>
        <w:t>0</w:t>
      </w:r>
      <w:r w:rsidRPr="00A85FEA">
        <w:rPr>
          <w:rFonts w:cs="Arial"/>
          <w:spacing w:val="-1"/>
          <w:szCs w:val="22"/>
        </w:rPr>
        <w:t>3</w:t>
      </w:r>
      <w:r w:rsidRPr="00A85FEA">
        <w:rPr>
          <w:rFonts w:cs="Arial"/>
          <w:szCs w:val="22"/>
        </w:rPr>
        <w:t>2</w:t>
      </w:r>
      <w:r w:rsidRPr="00A85FEA">
        <w:rPr>
          <w:rFonts w:cs="Arial"/>
          <w:spacing w:val="3"/>
          <w:szCs w:val="22"/>
        </w:rPr>
        <w:t xml:space="preserve"> </w:t>
      </w:r>
      <w:r w:rsidRPr="00A85FEA">
        <w:rPr>
          <w:rFonts w:cs="Arial"/>
          <w:spacing w:val="1"/>
          <w:szCs w:val="22"/>
        </w:rPr>
        <w:t>“</w:t>
      </w:r>
      <w:r w:rsidRPr="00A85FEA">
        <w:rPr>
          <w:rFonts w:cs="Arial"/>
          <w:spacing w:val="-1"/>
          <w:szCs w:val="22"/>
        </w:rPr>
        <w:t>C</w:t>
      </w:r>
      <w:r w:rsidRPr="00A85FEA">
        <w:rPr>
          <w:rFonts w:cs="Arial"/>
          <w:szCs w:val="22"/>
        </w:rPr>
        <w:t>h</w:t>
      </w:r>
      <w:r w:rsidRPr="00A85FEA">
        <w:rPr>
          <w:rFonts w:cs="Arial"/>
          <w:spacing w:val="-3"/>
          <w:szCs w:val="22"/>
        </w:rPr>
        <w:t>e</w:t>
      </w:r>
      <w:r w:rsidRPr="00A85FEA">
        <w:rPr>
          <w:rFonts w:cs="Arial"/>
          <w:spacing w:val="2"/>
          <w:szCs w:val="22"/>
        </w:rPr>
        <w:t>q</w:t>
      </w:r>
      <w:r w:rsidRPr="00A85FEA">
        <w:rPr>
          <w:rFonts w:cs="Arial"/>
          <w:szCs w:val="22"/>
        </w:rPr>
        <w:t>u</w:t>
      </w:r>
      <w:r w:rsidRPr="00A85FEA">
        <w:rPr>
          <w:rFonts w:cs="Arial"/>
          <w:spacing w:val="-1"/>
          <w:szCs w:val="22"/>
        </w:rPr>
        <w:t>e</w:t>
      </w:r>
      <w:r w:rsidRPr="00A85FEA">
        <w:rPr>
          <w:rFonts w:cs="Arial"/>
          <w:szCs w:val="22"/>
        </w:rPr>
        <w:t>s</w:t>
      </w:r>
      <w:r w:rsidRPr="00A85FEA">
        <w:rPr>
          <w:rFonts w:cs="Arial"/>
          <w:spacing w:val="1"/>
          <w:szCs w:val="22"/>
        </w:rPr>
        <w:t xml:space="preserve"> </w:t>
      </w:r>
      <w:r w:rsidRPr="00A85FEA">
        <w:rPr>
          <w:rFonts w:cs="Arial"/>
          <w:szCs w:val="22"/>
        </w:rPr>
        <w:t>no</w:t>
      </w:r>
      <w:r w:rsidRPr="00A85FEA">
        <w:rPr>
          <w:rFonts w:cs="Arial"/>
          <w:spacing w:val="3"/>
          <w:szCs w:val="22"/>
        </w:rPr>
        <w:t xml:space="preserve"> </w:t>
      </w:r>
      <w:r w:rsidRPr="00A85FEA">
        <w:rPr>
          <w:rFonts w:cs="Arial"/>
          <w:szCs w:val="22"/>
        </w:rPr>
        <w:t>co</w:t>
      </w:r>
      <w:r w:rsidRPr="00A85FEA">
        <w:rPr>
          <w:rFonts w:cs="Arial"/>
          <w:spacing w:val="-3"/>
          <w:szCs w:val="22"/>
        </w:rPr>
        <w:t>b</w:t>
      </w:r>
      <w:r w:rsidRPr="00A85FEA">
        <w:rPr>
          <w:rFonts w:cs="Arial"/>
          <w:spacing w:val="-2"/>
          <w:szCs w:val="22"/>
        </w:rPr>
        <w:t>r</w:t>
      </w:r>
      <w:r w:rsidRPr="00A85FEA">
        <w:rPr>
          <w:rFonts w:cs="Arial"/>
          <w:szCs w:val="22"/>
        </w:rPr>
        <w:t>a</w:t>
      </w:r>
      <w:r w:rsidRPr="00A85FEA">
        <w:rPr>
          <w:rFonts w:cs="Arial"/>
          <w:spacing w:val="-1"/>
          <w:szCs w:val="22"/>
        </w:rPr>
        <w:t>d</w:t>
      </w:r>
      <w:r w:rsidRPr="00A85FEA">
        <w:rPr>
          <w:rFonts w:cs="Arial"/>
          <w:szCs w:val="22"/>
        </w:rPr>
        <w:t>os</w:t>
      </w:r>
      <w:r w:rsidRPr="00A85FEA">
        <w:rPr>
          <w:rFonts w:cs="Arial"/>
          <w:spacing w:val="3"/>
          <w:szCs w:val="22"/>
        </w:rPr>
        <w:t xml:space="preserve"> </w:t>
      </w:r>
      <w:r w:rsidRPr="00A85FEA">
        <w:rPr>
          <w:rFonts w:cs="Arial"/>
          <w:szCs w:val="22"/>
        </w:rPr>
        <w:t>o</w:t>
      </w:r>
      <w:r w:rsidRPr="00A85FEA">
        <w:rPr>
          <w:rFonts w:cs="Arial"/>
          <w:spacing w:val="3"/>
          <w:szCs w:val="22"/>
        </w:rPr>
        <w:t xml:space="preserve"> </w:t>
      </w:r>
      <w:r w:rsidRPr="00A85FEA">
        <w:rPr>
          <w:rFonts w:cs="Arial"/>
          <w:szCs w:val="22"/>
        </w:rPr>
        <w:t>p</w:t>
      </w:r>
      <w:r w:rsidRPr="00A85FEA">
        <w:rPr>
          <w:rFonts w:cs="Arial"/>
          <w:spacing w:val="-3"/>
          <w:szCs w:val="22"/>
        </w:rPr>
        <w:t>o</w:t>
      </w:r>
      <w:r w:rsidRPr="00A85FEA">
        <w:rPr>
          <w:rFonts w:cs="Arial"/>
          <w:szCs w:val="22"/>
        </w:rPr>
        <w:t xml:space="preserve">r </w:t>
      </w:r>
      <w:r w:rsidRPr="00A85FEA">
        <w:rPr>
          <w:rFonts w:cs="Arial"/>
          <w:spacing w:val="1"/>
          <w:szCs w:val="22"/>
        </w:rPr>
        <w:t>r</w:t>
      </w:r>
      <w:r w:rsidRPr="00A85FEA">
        <w:rPr>
          <w:rFonts w:cs="Arial"/>
          <w:szCs w:val="22"/>
        </w:rPr>
        <w:t>ec</w:t>
      </w:r>
      <w:r w:rsidRPr="00A85FEA">
        <w:rPr>
          <w:rFonts w:cs="Arial"/>
          <w:spacing w:val="-1"/>
          <w:szCs w:val="22"/>
        </w:rPr>
        <w:t>l</w:t>
      </w:r>
      <w:r w:rsidRPr="00A85FEA">
        <w:rPr>
          <w:rFonts w:cs="Arial"/>
          <w:szCs w:val="22"/>
        </w:rPr>
        <w:t>ama</w:t>
      </w:r>
      <w:r w:rsidRPr="00A85FEA">
        <w:rPr>
          <w:rFonts w:cs="Arial"/>
          <w:spacing w:val="-1"/>
          <w:szCs w:val="22"/>
        </w:rPr>
        <w:t>r</w:t>
      </w:r>
      <w:r w:rsidRPr="00A85FEA">
        <w:rPr>
          <w:rFonts w:cs="Arial"/>
          <w:spacing w:val="1"/>
          <w:szCs w:val="22"/>
        </w:rPr>
        <w:t>”</w:t>
      </w:r>
      <w:r w:rsidRPr="00A85FEA">
        <w:rPr>
          <w:rFonts w:cs="Arial"/>
          <w:szCs w:val="22"/>
        </w:rPr>
        <w:t>.</w:t>
      </w:r>
      <w:r w:rsidRPr="00A85FEA">
        <w:rPr>
          <w:rFonts w:cs="Arial"/>
          <w:spacing w:val="4"/>
          <w:szCs w:val="22"/>
        </w:rPr>
        <w:t xml:space="preserve"> </w:t>
      </w:r>
      <w:r w:rsidR="0037435B" w:rsidRPr="00A85FEA">
        <w:rPr>
          <w:rFonts w:cs="Arial"/>
          <w:szCs w:val="22"/>
        </w:rPr>
        <w:t>Correspondiente</w:t>
      </w:r>
      <w:r w:rsidRPr="00A85FEA">
        <w:rPr>
          <w:rFonts w:cs="Arial"/>
          <w:spacing w:val="4"/>
          <w:szCs w:val="22"/>
        </w:rPr>
        <w:t xml:space="preserve"> </w:t>
      </w:r>
      <w:r w:rsidRPr="00A85FEA">
        <w:rPr>
          <w:rFonts w:cs="Arial"/>
          <w:szCs w:val="22"/>
        </w:rPr>
        <w:t>y</w:t>
      </w:r>
      <w:r w:rsidRPr="00A85FEA">
        <w:rPr>
          <w:rFonts w:cs="Arial"/>
          <w:spacing w:val="2"/>
          <w:szCs w:val="22"/>
        </w:rPr>
        <w:t xml:space="preserve"> </w:t>
      </w:r>
      <w:r w:rsidRPr="00A85FEA">
        <w:rPr>
          <w:rFonts w:cs="Arial"/>
          <w:szCs w:val="22"/>
        </w:rPr>
        <w:t>al</w:t>
      </w:r>
      <w:r w:rsidRPr="00A85FEA">
        <w:rPr>
          <w:rFonts w:cs="Arial"/>
          <w:spacing w:val="1"/>
          <w:szCs w:val="22"/>
        </w:rPr>
        <w:t xml:space="preserve"> </w:t>
      </w:r>
      <w:r w:rsidRPr="00A85FEA">
        <w:rPr>
          <w:rFonts w:cs="Arial"/>
          <w:spacing w:val="-3"/>
          <w:szCs w:val="22"/>
        </w:rPr>
        <w:t>e</w:t>
      </w:r>
      <w:r w:rsidRPr="00A85FEA">
        <w:rPr>
          <w:rFonts w:cs="Arial"/>
          <w:spacing w:val="3"/>
          <w:szCs w:val="22"/>
        </w:rPr>
        <w:t>f</w:t>
      </w:r>
      <w:r w:rsidRPr="00A85FEA">
        <w:rPr>
          <w:rFonts w:cs="Arial"/>
          <w:szCs w:val="22"/>
        </w:rPr>
        <w:t>e</w:t>
      </w:r>
      <w:r w:rsidRPr="00A85FEA">
        <w:rPr>
          <w:rFonts w:cs="Arial"/>
          <w:spacing w:val="-3"/>
          <w:szCs w:val="22"/>
        </w:rPr>
        <w:t>c</w:t>
      </w:r>
      <w:r w:rsidRPr="00A85FEA">
        <w:rPr>
          <w:rFonts w:cs="Arial"/>
          <w:spacing w:val="1"/>
          <w:szCs w:val="22"/>
        </w:rPr>
        <w:t>t</w:t>
      </w:r>
      <w:r w:rsidRPr="00A85FEA">
        <w:rPr>
          <w:rFonts w:cs="Arial"/>
          <w:spacing w:val="-1"/>
          <w:szCs w:val="22"/>
        </w:rPr>
        <w:t>i</w:t>
      </w:r>
      <w:r w:rsidRPr="00A85FEA">
        <w:rPr>
          <w:rFonts w:cs="Arial"/>
          <w:spacing w:val="-2"/>
          <w:szCs w:val="22"/>
        </w:rPr>
        <w:t>v</w:t>
      </w:r>
      <w:r w:rsidRPr="00A85FEA">
        <w:rPr>
          <w:rFonts w:cs="Arial"/>
          <w:spacing w:val="2"/>
          <w:szCs w:val="22"/>
        </w:rPr>
        <w:t>o</w:t>
      </w:r>
      <w:r w:rsidRPr="00A85FEA">
        <w:rPr>
          <w:rFonts w:cs="Arial"/>
          <w:spacing w:val="1"/>
          <w:szCs w:val="22"/>
        </w:rPr>
        <w:t>.”</w:t>
      </w:r>
      <w:r w:rsidRPr="00A85FEA">
        <w:rPr>
          <w:rFonts w:cs="Arial"/>
          <w:szCs w:val="22"/>
        </w:rPr>
        <w:t>.</w:t>
      </w:r>
      <w:r w:rsidRPr="00A85FEA">
        <w:rPr>
          <w:rFonts w:cs="Arial"/>
          <w:spacing w:val="3"/>
          <w:szCs w:val="22"/>
        </w:rPr>
        <w:t xml:space="preserve"> </w:t>
      </w:r>
      <w:r w:rsidRPr="00A85FEA">
        <w:rPr>
          <w:rFonts w:cs="Arial"/>
          <w:szCs w:val="22"/>
        </w:rPr>
        <w:t>L</w:t>
      </w:r>
      <w:r w:rsidRPr="00A85FEA">
        <w:rPr>
          <w:rFonts w:cs="Arial"/>
          <w:spacing w:val="-1"/>
          <w:szCs w:val="22"/>
        </w:rPr>
        <w:t>a</w:t>
      </w:r>
      <w:r w:rsidRPr="00A85FEA">
        <w:rPr>
          <w:rFonts w:cs="Arial"/>
          <w:szCs w:val="22"/>
        </w:rPr>
        <w:t>s p</w:t>
      </w:r>
      <w:r w:rsidRPr="00A85FEA">
        <w:rPr>
          <w:rFonts w:cs="Arial"/>
          <w:spacing w:val="-1"/>
          <w:szCs w:val="22"/>
        </w:rPr>
        <w:t>a</w:t>
      </w:r>
      <w:r w:rsidRPr="00A85FEA">
        <w:rPr>
          <w:rFonts w:cs="Arial"/>
          <w:spacing w:val="1"/>
          <w:szCs w:val="22"/>
        </w:rPr>
        <w:t>rt</w:t>
      </w:r>
      <w:r w:rsidRPr="00A85FEA">
        <w:rPr>
          <w:rFonts w:cs="Arial"/>
          <w:spacing w:val="-1"/>
          <w:szCs w:val="22"/>
        </w:rPr>
        <w:t>i</w:t>
      </w:r>
      <w:r w:rsidRPr="00A85FEA">
        <w:rPr>
          <w:rFonts w:cs="Arial"/>
          <w:szCs w:val="22"/>
        </w:rPr>
        <w:t>d</w:t>
      </w:r>
      <w:r w:rsidRPr="00A85FEA">
        <w:rPr>
          <w:rFonts w:cs="Arial"/>
          <w:spacing w:val="-1"/>
          <w:szCs w:val="22"/>
        </w:rPr>
        <w:t>a</w:t>
      </w:r>
      <w:r w:rsidRPr="00A85FEA">
        <w:rPr>
          <w:rFonts w:cs="Arial"/>
          <w:szCs w:val="22"/>
        </w:rPr>
        <w:t>s</w:t>
      </w:r>
      <w:r w:rsidRPr="00A85FEA">
        <w:rPr>
          <w:rFonts w:cs="Arial"/>
          <w:spacing w:val="3"/>
          <w:szCs w:val="22"/>
        </w:rPr>
        <w:t xml:space="preserve"> </w:t>
      </w:r>
      <w:r w:rsidRPr="00A85FEA">
        <w:rPr>
          <w:rFonts w:cs="Arial"/>
          <w:spacing w:val="-1"/>
          <w:szCs w:val="22"/>
        </w:rPr>
        <w:t>i</w:t>
      </w:r>
      <w:r w:rsidRPr="00A85FEA">
        <w:rPr>
          <w:rFonts w:cs="Arial"/>
          <w:szCs w:val="22"/>
        </w:rPr>
        <w:t>nc</w:t>
      </w:r>
      <w:r w:rsidRPr="00A85FEA">
        <w:rPr>
          <w:rFonts w:cs="Arial"/>
          <w:spacing w:val="-1"/>
          <w:szCs w:val="22"/>
        </w:rPr>
        <w:t>l</w:t>
      </w:r>
      <w:r w:rsidRPr="00A85FEA">
        <w:rPr>
          <w:rFonts w:cs="Arial"/>
          <w:szCs w:val="22"/>
        </w:rPr>
        <w:t>u</w:t>
      </w:r>
      <w:r w:rsidRPr="00A85FEA">
        <w:rPr>
          <w:rFonts w:cs="Arial"/>
          <w:spacing w:val="-1"/>
          <w:szCs w:val="22"/>
        </w:rPr>
        <w:t>i</w:t>
      </w:r>
      <w:r w:rsidRPr="00A85FEA">
        <w:rPr>
          <w:rFonts w:cs="Arial"/>
          <w:szCs w:val="22"/>
        </w:rPr>
        <w:t>d</w:t>
      </w:r>
      <w:r w:rsidRPr="00A85FEA">
        <w:rPr>
          <w:rFonts w:cs="Arial"/>
          <w:spacing w:val="-1"/>
          <w:szCs w:val="22"/>
        </w:rPr>
        <w:t>a</w:t>
      </w:r>
      <w:r w:rsidRPr="00A85FEA">
        <w:rPr>
          <w:rFonts w:cs="Arial"/>
          <w:szCs w:val="22"/>
        </w:rPr>
        <w:t>s</w:t>
      </w:r>
      <w:r w:rsidRPr="00A85FEA">
        <w:rPr>
          <w:rFonts w:cs="Arial"/>
          <w:spacing w:val="4"/>
          <w:szCs w:val="22"/>
        </w:rPr>
        <w:t xml:space="preserve"> </w:t>
      </w:r>
      <w:r w:rsidRPr="00A85FEA">
        <w:rPr>
          <w:rFonts w:cs="Arial"/>
          <w:szCs w:val="22"/>
        </w:rPr>
        <w:t>en</w:t>
      </w:r>
      <w:r w:rsidRPr="00A85FEA">
        <w:rPr>
          <w:rFonts w:cs="Arial"/>
          <w:spacing w:val="4"/>
          <w:szCs w:val="22"/>
        </w:rPr>
        <w:t xml:space="preserve"> </w:t>
      </w:r>
      <w:r w:rsidRPr="00A85FEA">
        <w:rPr>
          <w:rFonts w:cs="Arial"/>
          <w:spacing w:val="-3"/>
          <w:szCs w:val="22"/>
        </w:rPr>
        <w:t>e</w:t>
      </w:r>
      <w:r w:rsidRPr="00A85FEA">
        <w:rPr>
          <w:rFonts w:cs="Arial"/>
          <w:spacing w:val="-2"/>
          <w:szCs w:val="22"/>
        </w:rPr>
        <w:t>s</w:t>
      </w:r>
      <w:r w:rsidRPr="00A85FEA">
        <w:rPr>
          <w:rFonts w:cs="Arial"/>
          <w:spacing w:val="1"/>
          <w:szCs w:val="22"/>
        </w:rPr>
        <w:t>t</w:t>
      </w:r>
      <w:r w:rsidRPr="00A85FEA">
        <w:rPr>
          <w:rFonts w:cs="Arial"/>
          <w:szCs w:val="22"/>
        </w:rPr>
        <w:t>a</w:t>
      </w:r>
      <w:r w:rsidRPr="00A85FEA">
        <w:rPr>
          <w:rFonts w:cs="Arial"/>
          <w:spacing w:val="5"/>
          <w:szCs w:val="22"/>
        </w:rPr>
        <w:t xml:space="preserve"> </w:t>
      </w:r>
      <w:r w:rsidRPr="00A85FEA">
        <w:rPr>
          <w:rFonts w:cs="Arial"/>
          <w:szCs w:val="22"/>
        </w:rPr>
        <w:t>c</w:t>
      </w:r>
      <w:r w:rsidRPr="00A85FEA">
        <w:rPr>
          <w:rFonts w:cs="Arial"/>
          <w:spacing w:val="-3"/>
          <w:szCs w:val="22"/>
        </w:rPr>
        <w:t>a</w:t>
      </w:r>
      <w:r w:rsidRPr="00A85FEA">
        <w:rPr>
          <w:rFonts w:cs="Arial"/>
          <w:spacing w:val="1"/>
          <w:szCs w:val="22"/>
        </w:rPr>
        <w:t>t</w:t>
      </w:r>
      <w:r w:rsidRPr="00A85FEA">
        <w:rPr>
          <w:rFonts w:cs="Arial"/>
          <w:spacing w:val="-3"/>
          <w:szCs w:val="22"/>
        </w:rPr>
        <w:t>e</w:t>
      </w:r>
      <w:r w:rsidRPr="00A85FEA">
        <w:rPr>
          <w:rFonts w:cs="Arial"/>
          <w:spacing w:val="2"/>
          <w:szCs w:val="22"/>
        </w:rPr>
        <w:t>g</w:t>
      </w:r>
      <w:r w:rsidRPr="00A85FEA">
        <w:rPr>
          <w:rFonts w:cs="Arial"/>
          <w:spacing w:val="-3"/>
          <w:szCs w:val="22"/>
        </w:rPr>
        <w:t>o</w:t>
      </w:r>
      <w:r w:rsidRPr="00A85FEA">
        <w:rPr>
          <w:rFonts w:cs="Arial"/>
          <w:spacing w:val="1"/>
          <w:szCs w:val="22"/>
        </w:rPr>
        <w:t>r</w:t>
      </w:r>
      <w:r w:rsidRPr="00A85FEA">
        <w:rPr>
          <w:rFonts w:cs="Arial"/>
          <w:spacing w:val="-4"/>
          <w:szCs w:val="22"/>
        </w:rPr>
        <w:t>í</w:t>
      </w:r>
      <w:r w:rsidRPr="00A85FEA">
        <w:rPr>
          <w:rFonts w:cs="Arial"/>
          <w:szCs w:val="22"/>
        </w:rPr>
        <w:t>a d</w:t>
      </w:r>
      <w:r w:rsidRPr="00A85FEA">
        <w:rPr>
          <w:rFonts w:cs="Arial"/>
          <w:spacing w:val="-1"/>
          <w:szCs w:val="22"/>
        </w:rPr>
        <w:t>e</w:t>
      </w:r>
      <w:r w:rsidRPr="00A85FEA">
        <w:rPr>
          <w:rFonts w:cs="Arial"/>
          <w:szCs w:val="22"/>
        </w:rPr>
        <w:t>b</w:t>
      </w:r>
      <w:r w:rsidRPr="00A85FEA">
        <w:rPr>
          <w:rFonts w:cs="Arial"/>
          <w:spacing w:val="-1"/>
          <w:szCs w:val="22"/>
        </w:rPr>
        <w:t>e</w:t>
      </w:r>
      <w:r w:rsidRPr="00A85FEA">
        <w:rPr>
          <w:rFonts w:cs="Arial"/>
          <w:spacing w:val="1"/>
          <w:szCs w:val="22"/>
        </w:rPr>
        <w:t>r</w:t>
      </w:r>
      <w:r w:rsidRPr="00A85FEA">
        <w:rPr>
          <w:rFonts w:cs="Arial"/>
          <w:szCs w:val="22"/>
        </w:rPr>
        <w:t>án</w:t>
      </w:r>
      <w:r w:rsidRPr="00A85FEA">
        <w:rPr>
          <w:rFonts w:cs="Arial"/>
          <w:spacing w:val="4"/>
          <w:szCs w:val="22"/>
        </w:rPr>
        <w:t xml:space="preserve"> </w:t>
      </w:r>
      <w:r w:rsidRPr="00A85FEA">
        <w:rPr>
          <w:rFonts w:cs="Arial"/>
          <w:szCs w:val="22"/>
        </w:rPr>
        <w:t xml:space="preserve">ser </w:t>
      </w:r>
      <w:r w:rsidRPr="00A85FEA">
        <w:rPr>
          <w:rFonts w:cs="Arial"/>
          <w:spacing w:val="2"/>
          <w:szCs w:val="22"/>
        </w:rPr>
        <w:t>g</w:t>
      </w:r>
      <w:r w:rsidRPr="00A85FEA">
        <w:rPr>
          <w:rFonts w:cs="Arial"/>
          <w:szCs w:val="22"/>
        </w:rPr>
        <w:t>esti</w:t>
      </w:r>
      <w:r w:rsidRPr="00A85FEA">
        <w:rPr>
          <w:rFonts w:cs="Arial"/>
          <w:spacing w:val="-1"/>
          <w:szCs w:val="22"/>
        </w:rPr>
        <w:t>o</w:t>
      </w:r>
      <w:r w:rsidRPr="00A85FEA">
        <w:rPr>
          <w:rFonts w:cs="Arial"/>
          <w:szCs w:val="22"/>
        </w:rPr>
        <w:t>n</w:t>
      </w:r>
      <w:r w:rsidRPr="00A85FEA">
        <w:rPr>
          <w:rFonts w:cs="Arial"/>
          <w:spacing w:val="-1"/>
          <w:szCs w:val="22"/>
        </w:rPr>
        <w:t>a</w:t>
      </w:r>
      <w:r w:rsidRPr="00A85FEA">
        <w:rPr>
          <w:rFonts w:cs="Arial"/>
          <w:szCs w:val="22"/>
        </w:rPr>
        <w:t>d</w:t>
      </w:r>
      <w:r w:rsidRPr="00A85FEA">
        <w:rPr>
          <w:rFonts w:cs="Arial"/>
          <w:spacing w:val="-3"/>
          <w:szCs w:val="22"/>
        </w:rPr>
        <w:t>a</w:t>
      </w:r>
      <w:r w:rsidRPr="00A85FEA">
        <w:rPr>
          <w:rFonts w:cs="Arial"/>
          <w:szCs w:val="22"/>
        </w:rPr>
        <w:t>s</w:t>
      </w:r>
      <w:r w:rsidRPr="00A85FEA">
        <w:rPr>
          <w:rFonts w:cs="Arial"/>
          <w:spacing w:val="4"/>
          <w:szCs w:val="22"/>
        </w:rPr>
        <w:t xml:space="preserve"> </w:t>
      </w:r>
      <w:r w:rsidRPr="00A85FEA">
        <w:rPr>
          <w:rFonts w:cs="Arial"/>
          <w:szCs w:val="22"/>
        </w:rPr>
        <w:t>con</w:t>
      </w:r>
      <w:r w:rsidRPr="00A85FEA">
        <w:rPr>
          <w:rFonts w:cs="Arial"/>
          <w:spacing w:val="3"/>
          <w:szCs w:val="22"/>
        </w:rPr>
        <w:t xml:space="preserve"> </w:t>
      </w:r>
      <w:r w:rsidRPr="00A85FEA">
        <w:rPr>
          <w:rFonts w:cs="Arial"/>
          <w:szCs w:val="22"/>
        </w:rPr>
        <w:t xml:space="preserve">el </w:t>
      </w:r>
      <w:r w:rsidRPr="00A85FEA">
        <w:rPr>
          <w:rFonts w:cs="Arial"/>
          <w:spacing w:val="3"/>
          <w:szCs w:val="22"/>
        </w:rPr>
        <w:t>f</w:t>
      </w:r>
      <w:r w:rsidRPr="00A85FEA">
        <w:rPr>
          <w:rFonts w:cs="Arial"/>
          <w:spacing w:val="-1"/>
          <w:szCs w:val="22"/>
        </w:rPr>
        <w:t>i</w:t>
      </w:r>
      <w:r w:rsidRPr="00A85FEA">
        <w:rPr>
          <w:rFonts w:cs="Arial"/>
          <w:szCs w:val="22"/>
        </w:rPr>
        <w:t>n</w:t>
      </w:r>
      <w:r w:rsidRPr="00A85FEA">
        <w:rPr>
          <w:rFonts w:cs="Arial"/>
          <w:spacing w:val="4"/>
          <w:szCs w:val="22"/>
        </w:rPr>
        <w:t xml:space="preserve"> </w:t>
      </w:r>
      <w:r w:rsidRPr="00A85FEA">
        <w:rPr>
          <w:rFonts w:cs="Arial"/>
          <w:szCs w:val="22"/>
        </w:rPr>
        <w:t>de</w:t>
      </w:r>
      <w:r w:rsidRPr="00A85FEA">
        <w:rPr>
          <w:rFonts w:cs="Arial"/>
          <w:spacing w:val="3"/>
          <w:szCs w:val="22"/>
        </w:rPr>
        <w:t xml:space="preserve"> </w:t>
      </w:r>
      <w:r w:rsidRPr="00A85FEA">
        <w:rPr>
          <w:rFonts w:cs="Arial"/>
          <w:spacing w:val="-1"/>
          <w:szCs w:val="22"/>
        </w:rPr>
        <w:t>l</w:t>
      </w:r>
      <w:r w:rsidRPr="00A85FEA">
        <w:rPr>
          <w:rFonts w:cs="Arial"/>
          <w:spacing w:val="-3"/>
          <w:szCs w:val="22"/>
        </w:rPr>
        <w:t>o</w:t>
      </w:r>
      <w:r w:rsidRPr="00A85FEA">
        <w:rPr>
          <w:rFonts w:cs="Arial"/>
          <w:spacing w:val="2"/>
          <w:szCs w:val="22"/>
        </w:rPr>
        <w:t>g</w:t>
      </w:r>
      <w:r w:rsidRPr="00A85FEA">
        <w:rPr>
          <w:rFonts w:cs="Arial"/>
          <w:spacing w:val="1"/>
          <w:szCs w:val="22"/>
        </w:rPr>
        <w:t>r</w:t>
      </w:r>
      <w:r w:rsidRPr="00A85FEA">
        <w:rPr>
          <w:rFonts w:cs="Arial"/>
          <w:spacing w:val="-3"/>
          <w:szCs w:val="22"/>
        </w:rPr>
        <w:t>a</w:t>
      </w:r>
      <w:r w:rsidRPr="00A85FEA">
        <w:rPr>
          <w:rFonts w:cs="Arial"/>
          <w:szCs w:val="22"/>
        </w:rPr>
        <w:t>r</w:t>
      </w:r>
      <w:r w:rsidRPr="00A85FEA">
        <w:rPr>
          <w:rFonts w:cs="Arial"/>
          <w:spacing w:val="2"/>
          <w:szCs w:val="22"/>
        </w:rPr>
        <w:t xml:space="preserve"> </w:t>
      </w:r>
      <w:r w:rsidRPr="00A85FEA">
        <w:rPr>
          <w:rFonts w:cs="Arial"/>
          <w:szCs w:val="22"/>
        </w:rPr>
        <w:t>su</w:t>
      </w:r>
      <w:r w:rsidRPr="00A85FEA">
        <w:rPr>
          <w:rFonts w:cs="Arial"/>
          <w:spacing w:val="4"/>
          <w:szCs w:val="22"/>
        </w:rPr>
        <w:t xml:space="preserve"> </w:t>
      </w:r>
      <w:r w:rsidRPr="00A85FEA">
        <w:rPr>
          <w:rFonts w:cs="Arial"/>
          <w:spacing w:val="-1"/>
          <w:szCs w:val="22"/>
        </w:rPr>
        <w:t>l</w:t>
      </w:r>
      <w:r w:rsidRPr="00A85FEA">
        <w:rPr>
          <w:rFonts w:cs="Arial"/>
          <w:szCs w:val="22"/>
        </w:rPr>
        <w:t>e</w:t>
      </w:r>
      <w:r w:rsidRPr="00A85FEA">
        <w:rPr>
          <w:rFonts w:cs="Arial"/>
          <w:spacing w:val="2"/>
          <w:szCs w:val="22"/>
        </w:rPr>
        <w:t>g</w:t>
      </w:r>
      <w:r w:rsidRPr="00A85FEA">
        <w:rPr>
          <w:rFonts w:cs="Arial"/>
          <w:szCs w:val="22"/>
        </w:rPr>
        <w:t>a</w:t>
      </w:r>
      <w:r w:rsidRPr="00A85FEA">
        <w:rPr>
          <w:rFonts w:cs="Arial"/>
          <w:spacing w:val="-1"/>
          <w:szCs w:val="22"/>
        </w:rPr>
        <w:t>li</w:t>
      </w:r>
      <w:r w:rsidRPr="00A85FEA">
        <w:rPr>
          <w:rFonts w:cs="Arial"/>
          <w:spacing w:val="-2"/>
          <w:szCs w:val="22"/>
        </w:rPr>
        <w:t>z</w:t>
      </w:r>
      <w:r w:rsidRPr="00A85FEA">
        <w:rPr>
          <w:rFonts w:cs="Arial"/>
          <w:szCs w:val="22"/>
        </w:rPr>
        <w:t>ac</w:t>
      </w:r>
      <w:r w:rsidRPr="00A85FEA">
        <w:rPr>
          <w:rFonts w:cs="Arial"/>
          <w:spacing w:val="-1"/>
          <w:szCs w:val="22"/>
        </w:rPr>
        <w:t>i</w:t>
      </w:r>
      <w:r w:rsidRPr="00A85FEA">
        <w:rPr>
          <w:rFonts w:cs="Arial"/>
          <w:szCs w:val="22"/>
        </w:rPr>
        <w:t>ón.</w:t>
      </w:r>
    </w:p>
    <w:p w14:paraId="0551BE9A" w14:textId="77777777" w:rsidR="00F53AB1" w:rsidRPr="00A85FEA" w:rsidRDefault="00F53AB1" w:rsidP="0037435B">
      <w:pPr>
        <w:jc w:val="both"/>
        <w:rPr>
          <w:rStyle w:val="apple-converted-space"/>
          <w:rFonts w:cs="Arial"/>
          <w:szCs w:val="22"/>
          <w:shd w:val="clear" w:color="auto" w:fill="FFFFFF"/>
        </w:rPr>
      </w:pPr>
      <w:r w:rsidRPr="00A85FEA">
        <w:rPr>
          <w:rFonts w:cs="Arial"/>
          <w:bCs/>
          <w:spacing w:val="-1"/>
          <w:szCs w:val="22"/>
        </w:rPr>
        <w:t>P</w:t>
      </w:r>
      <w:r w:rsidRPr="00A85FEA">
        <w:rPr>
          <w:rFonts w:cs="Arial"/>
          <w:bCs/>
          <w:szCs w:val="22"/>
        </w:rPr>
        <w:t>a</w:t>
      </w:r>
      <w:r w:rsidRPr="00A85FEA">
        <w:rPr>
          <w:rFonts w:cs="Arial"/>
          <w:bCs/>
          <w:spacing w:val="-1"/>
          <w:szCs w:val="22"/>
        </w:rPr>
        <w:t>g</w:t>
      </w:r>
      <w:r w:rsidRPr="00A85FEA">
        <w:rPr>
          <w:rFonts w:cs="Arial"/>
          <w:bCs/>
          <w:szCs w:val="22"/>
        </w:rPr>
        <w:t>os</w:t>
      </w:r>
      <w:r w:rsidRPr="00A85FEA">
        <w:rPr>
          <w:rFonts w:cs="Arial"/>
          <w:bCs/>
          <w:spacing w:val="28"/>
          <w:szCs w:val="22"/>
        </w:rPr>
        <w:t xml:space="preserve"> </w:t>
      </w:r>
      <w:r w:rsidRPr="00A85FEA">
        <w:rPr>
          <w:rFonts w:cs="Arial"/>
          <w:bCs/>
          <w:szCs w:val="22"/>
        </w:rPr>
        <w:t>a</w:t>
      </w:r>
      <w:r w:rsidRPr="00A85FEA">
        <w:rPr>
          <w:rFonts w:cs="Arial"/>
          <w:bCs/>
          <w:spacing w:val="-1"/>
          <w:szCs w:val="22"/>
        </w:rPr>
        <w:t>u</w:t>
      </w:r>
      <w:r w:rsidRPr="00A85FEA">
        <w:rPr>
          <w:rFonts w:cs="Arial"/>
          <w:bCs/>
          <w:spacing w:val="1"/>
          <w:szCs w:val="22"/>
        </w:rPr>
        <w:t>t</w:t>
      </w:r>
      <w:r w:rsidRPr="00A85FEA">
        <w:rPr>
          <w:rFonts w:cs="Arial"/>
          <w:bCs/>
          <w:szCs w:val="22"/>
        </w:rPr>
        <w:t>or</w:t>
      </w:r>
      <w:r w:rsidRPr="00A85FEA">
        <w:rPr>
          <w:rFonts w:cs="Arial"/>
          <w:bCs/>
          <w:spacing w:val="-1"/>
          <w:szCs w:val="22"/>
        </w:rPr>
        <w:t>i</w:t>
      </w:r>
      <w:r w:rsidRPr="00A85FEA">
        <w:rPr>
          <w:rFonts w:cs="Arial"/>
          <w:bCs/>
          <w:szCs w:val="22"/>
        </w:rPr>
        <w:t>z</w:t>
      </w:r>
      <w:r w:rsidRPr="00A85FEA">
        <w:rPr>
          <w:rFonts w:cs="Arial"/>
          <w:bCs/>
          <w:spacing w:val="1"/>
          <w:szCs w:val="22"/>
        </w:rPr>
        <w:t>a</w:t>
      </w:r>
      <w:r w:rsidRPr="00A85FEA">
        <w:rPr>
          <w:rFonts w:cs="Arial"/>
          <w:bCs/>
          <w:szCs w:val="22"/>
        </w:rPr>
        <w:t>d</w:t>
      </w:r>
      <w:r w:rsidRPr="00A85FEA">
        <w:rPr>
          <w:rFonts w:cs="Arial"/>
          <w:bCs/>
          <w:spacing w:val="-1"/>
          <w:szCs w:val="22"/>
        </w:rPr>
        <w:t>o</w:t>
      </w:r>
      <w:r w:rsidRPr="00A85FEA">
        <w:rPr>
          <w:rFonts w:cs="Arial"/>
          <w:bCs/>
          <w:szCs w:val="22"/>
        </w:rPr>
        <w:t>s (banca virtual)</w:t>
      </w:r>
      <w:r w:rsidRPr="00A85FEA">
        <w:rPr>
          <w:rFonts w:cs="Arial"/>
          <w:bCs/>
          <w:spacing w:val="29"/>
          <w:szCs w:val="22"/>
        </w:rPr>
        <w:t xml:space="preserve"> </w:t>
      </w:r>
      <w:r w:rsidRPr="00A85FEA">
        <w:rPr>
          <w:rFonts w:cs="Arial"/>
          <w:bCs/>
          <w:szCs w:val="22"/>
        </w:rPr>
        <w:t>y</w:t>
      </w:r>
      <w:r w:rsidRPr="00A85FEA">
        <w:rPr>
          <w:rFonts w:cs="Arial"/>
          <w:bCs/>
          <w:spacing w:val="24"/>
          <w:szCs w:val="22"/>
        </w:rPr>
        <w:t xml:space="preserve"> </w:t>
      </w:r>
      <w:r w:rsidRPr="00A85FEA">
        <w:rPr>
          <w:rFonts w:cs="Arial"/>
          <w:bCs/>
          <w:szCs w:val="22"/>
        </w:rPr>
        <w:t>p</w:t>
      </w:r>
      <w:r w:rsidRPr="00A85FEA">
        <w:rPr>
          <w:rFonts w:cs="Arial"/>
          <w:bCs/>
          <w:spacing w:val="-1"/>
          <w:szCs w:val="22"/>
        </w:rPr>
        <w:t>e</w:t>
      </w:r>
      <w:r w:rsidRPr="00A85FEA">
        <w:rPr>
          <w:rFonts w:cs="Arial"/>
          <w:bCs/>
          <w:szCs w:val="22"/>
        </w:rPr>
        <w:t>n</w:t>
      </w:r>
      <w:r w:rsidRPr="00A85FEA">
        <w:rPr>
          <w:rFonts w:cs="Arial"/>
          <w:bCs/>
          <w:spacing w:val="-1"/>
          <w:szCs w:val="22"/>
        </w:rPr>
        <w:t>d</w:t>
      </w:r>
      <w:r w:rsidRPr="00A85FEA">
        <w:rPr>
          <w:rFonts w:cs="Arial"/>
          <w:bCs/>
          <w:spacing w:val="1"/>
          <w:szCs w:val="22"/>
        </w:rPr>
        <w:t>i</w:t>
      </w:r>
      <w:r w:rsidRPr="00A85FEA">
        <w:rPr>
          <w:rFonts w:cs="Arial"/>
          <w:bCs/>
          <w:szCs w:val="22"/>
        </w:rPr>
        <w:t>e</w:t>
      </w:r>
      <w:r w:rsidRPr="00A85FEA">
        <w:rPr>
          <w:rFonts w:cs="Arial"/>
          <w:bCs/>
          <w:spacing w:val="-1"/>
          <w:szCs w:val="22"/>
        </w:rPr>
        <w:t>n</w:t>
      </w:r>
      <w:r w:rsidRPr="00A85FEA">
        <w:rPr>
          <w:rFonts w:cs="Arial"/>
          <w:bCs/>
          <w:spacing w:val="1"/>
          <w:szCs w:val="22"/>
        </w:rPr>
        <w:t>t</w:t>
      </w:r>
      <w:r w:rsidRPr="00A85FEA">
        <w:rPr>
          <w:rFonts w:cs="Arial"/>
          <w:bCs/>
          <w:szCs w:val="22"/>
        </w:rPr>
        <w:t>es</w:t>
      </w:r>
      <w:r w:rsidRPr="00A85FEA">
        <w:rPr>
          <w:rFonts w:cs="Arial"/>
          <w:bCs/>
          <w:spacing w:val="28"/>
          <w:szCs w:val="22"/>
        </w:rPr>
        <w:t xml:space="preserve"> </w:t>
      </w:r>
      <w:r w:rsidRPr="00A85FEA">
        <w:rPr>
          <w:rFonts w:cs="Arial"/>
          <w:bCs/>
          <w:spacing w:val="-3"/>
          <w:szCs w:val="22"/>
        </w:rPr>
        <w:t>d</w:t>
      </w:r>
      <w:r w:rsidRPr="00A85FEA">
        <w:rPr>
          <w:rFonts w:cs="Arial"/>
          <w:bCs/>
          <w:szCs w:val="22"/>
        </w:rPr>
        <w:t>e</w:t>
      </w:r>
      <w:r w:rsidRPr="00A85FEA">
        <w:rPr>
          <w:rFonts w:cs="Arial"/>
          <w:bCs/>
          <w:spacing w:val="29"/>
          <w:szCs w:val="22"/>
        </w:rPr>
        <w:t xml:space="preserve"> </w:t>
      </w:r>
      <w:r w:rsidRPr="00A85FEA">
        <w:rPr>
          <w:rFonts w:cs="Arial"/>
          <w:bCs/>
          <w:szCs w:val="22"/>
        </w:rPr>
        <w:t>c</w:t>
      </w:r>
      <w:r w:rsidRPr="00A85FEA">
        <w:rPr>
          <w:rFonts w:cs="Arial"/>
          <w:bCs/>
          <w:spacing w:val="-1"/>
          <w:szCs w:val="22"/>
        </w:rPr>
        <w:t>o</w:t>
      </w:r>
      <w:r w:rsidRPr="00A85FEA">
        <w:rPr>
          <w:rFonts w:cs="Arial"/>
          <w:bCs/>
          <w:szCs w:val="22"/>
        </w:rPr>
        <w:t>bro:</w:t>
      </w:r>
      <w:r w:rsidRPr="00A85FEA">
        <w:rPr>
          <w:rFonts w:cs="Arial"/>
          <w:bCs/>
          <w:spacing w:val="29"/>
          <w:szCs w:val="22"/>
        </w:rPr>
        <w:t xml:space="preserve"> </w:t>
      </w:r>
      <w:r w:rsidRPr="00A85FEA">
        <w:rPr>
          <w:rFonts w:cs="Arial"/>
          <w:szCs w:val="22"/>
        </w:rPr>
        <w:t>se</w:t>
      </w:r>
      <w:r w:rsidRPr="00A85FEA">
        <w:rPr>
          <w:rFonts w:cs="Arial"/>
          <w:spacing w:val="26"/>
          <w:szCs w:val="22"/>
        </w:rPr>
        <w:t xml:space="preserve"> </w:t>
      </w:r>
      <w:r w:rsidRPr="00A85FEA">
        <w:rPr>
          <w:rFonts w:cs="Arial"/>
          <w:szCs w:val="22"/>
        </w:rPr>
        <w:t>ac</w:t>
      </w:r>
      <w:r w:rsidRPr="00A85FEA">
        <w:rPr>
          <w:rFonts w:cs="Arial"/>
          <w:spacing w:val="-1"/>
          <w:szCs w:val="22"/>
        </w:rPr>
        <w:t>e</w:t>
      </w:r>
      <w:r w:rsidRPr="00A85FEA">
        <w:rPr>
          <w:rFonts w:cs="Arial"/>
          <w:szCs w:val="22"/>
        </w:rPr>
        <w:t>p</w:t>
      </w:r>
      <w:r w:rsidRPr="00A85FEA">
        <w:rPr>
          <w:rFonts w:cs="Arial"/>
          <w:spacing w:val="-2"/>
          <w:szCs w:val="22"/>
        </w:rPr>
        <w:t>t</w:t>
      </w:r>
      <w:r w:rsidRPr="00A85FEA">
        <w:rPr>
          <w:rFonts w:cs="Arial"/>
          <w:szCs w:val="22"/>
        </w:rPr>
        <w:t>an</w:t>
      </w:r>
      <w:r w:rsidRPr="00A85FEA">
        <w:rPr>
          <w:rFonts w:cs="Arial"/>
          <w:spacing w:val="28"/>
          <w:szCs w:val="22"/>
        </w:rPr>
        <w:t xml:space="preserve"> </w:t>
      </w:r>
      <w:r w:rsidRPr="00A85FEA">
        <w:rPr>
          <w:rFonts w:cs="Arial"/>
          <w:spacing w:val="-2"/>
          <w:szCs w:val="22"/>
        </w:rPr>
        <w:t>c</w:t>
      </w:r>
      <w:r w:rsidRPr="00A85FEA">
        <w:rPr>
          <w:rFonts w:cs="Arial"/>
          <w:szCs w:val="22"/>
        </w:rPr>
        <w:t>omo</w:t>
      </w:r>
      <w:r w:rsidRPr="00A85FEA">
        <w:rPr>
          <w:rFonts w:cs="Arial"/>
          <w:spacing w:val="29"/>
          <w:szCs w:val="22"/>
        </w:rPr>
        <w:t xml:space="preserve"> </w:t>
      </w:r>
      <w:r w:rsidRPr="00A85FEA">
        <w:rPr>
          <w:rFonts w:cs="Arial"/>
          <w:szCs w:val="22"/>
        </w:rPr>
        <w:t>p</w:t>
      </w:r>
      <w:r w:rsidRPr="00A85FEA">
        <w:rPr>
          <w:rFonts w:cs="Arial"/>
          <w:spacing w:val="-3"/>
          <w:szCs w:val="22"/>
        </w:rPr>
        <w:t>a</w:t>
      </w:r>
      <w:r w:rsidRPr="00A85FEA">
        <w:rPr>
          <w:rFonts w:cs="Arial"/>
          <w:spacing w:val="1"/>
          <w:szCs w:val="22"/>
        </w:rPr>
        <w:t>rt</w:t>
      </w:r>
      <w:r w:rsidRPr="00A85FEA">
        <w:rPr>
          <w:rFonts w:cs="Arial"/>
          <w:spacing w:val="-3"/>
          <w:szCs w:val="22"/>
        </w:rPr>
        <w:t>id</w:t>
      </w:r>
      <w:r w:rsidRPr="00A85FEA">
        <w:rPr>
          <w:rFonts w:cs="Arial"/>
          <w:szCs w:val="22"/>
        </w:rPr>
        <w:t>a co</w:t>
      </w:r>
      <w:r w:rsidRPr="00A85FEA">
        <w:rPr>
          <w:rFonts w:cs="Arial"/>
          <w:spacing w:val="-1"/>
          <w:szCs w:val="22"/>
        </w:rPr>
        <w:t>n</w:t>
      </w:r>
      <w:r w:rsidRPr="00A85FEA">
        <w:rPr>
          <w:rFonts w:cs="Arial"/>
          <w:szCs w:val="22"/>
        </w:rPr>
        <w:t>c</w:t>
      </w:r>
      <w:r w:rsidRPr="00A85FEA">
        <w:rPr>
          <w:rFonts w:cs="Arial"/>
          <w:spacing w:val="-1"/>
          <w:szCs w:val="22"/>
        </w:rPr>
        <w:t>ili</w:t>
      </w:r>
      <w:r w:rsidRPr="00A85FEA">
        <w:rPr>
          <w:rFonts w:cs="Arial"/>
          <w:szCs w:val="22"/>
        </w:rPr>
        <w:t>ato</w:t>
      </w:r>
      <w:r w:rsidRPr="00A85FEA">
        <w:rPr>
          <w:rFonts w:cs="Arial"/>
          <w:spacing w:val="1"/>
          <w:szCs w:val="22"/>
        </w:rPr>
        <w:t>r</w:t>
      </w:r>
      <w:r w:rsidRPr="00A85FEA">
        <w:rPr>
          <w:rFonts w:cs="Arial"/>
          <w:spacing w:val="-1"/>
          <w:szCs w:val="22"/>
        </w:rPr>
        <w:t>i</w:t>
      </w:r>
      <w:r w:rsidRPr="00A85FEA">
        <w:rPr>
          <w:rFonts w:cs="Arial"/>
          <w:szCs w:val="22"/>
        </w:rPr>
        <w:t>a,</w:t>
      </w:r>
      <w:r w:rsidRPr="00A85FEA">
        <w:rPr>
          <w:rFonts w:cs="Arial"/>
          <w:spacing w:val="7"/>
          <w:szCs w:val="22"/>
        </w:rPr>
        <w:t xml:space="preserve"> </w:t>
      </w:r>
      <w:r w:rsidRPr="00A85FEA">
        <w:rPr>
          <w:rFonts w:cs="Arial"/>
          <w:szCs w:val="22"/>
        </w:rPr>
        <w:t>d</w:t>
      </w:r>
      <w:r w:rsidRPr="00A85FEA">
        <w:rPr>
          <w:rFonts w:cs="Arial"/>
          <w:spacing w:val="-3"/>
          <w:szCs w:val="22"/>
        </w:rPr>
        <w:t>u</w:t>
      </w:r>
      <w:r w:rsidRPr="00A85FEA">
        <w:rPr>
          <w:rFonts w:cs="Arial"/>
          <w:spacing w:val="1"/>
          <w:szCs w:val="22"/>
        </w:rPr>
        <w:t>r</w:t>
      </w:r>
      <w:r w:rsidRPr="00A85FEA">
        <w:rPr>
          <w:rFonts w:cs="Arial"/>
          <w:szCs w:val="22"/>
        </w:rPr>
        <w:t>a</w:t>
      </w:r>
      <w:r w:rsidRPr="00A85FEA">
        <w:rPr>
          <w:rFonts w:cs="Arial"/>
          <w:spacing w:val="-1"/>
          <w:szCs w:val="22"/>
        </w:rPr>
        <w:t>nt</w:t>
      </w:r>
      <w:r w:rsidRPr="00A85FEA">
        <w:rPr>
          <w:rFonts w:cs="Arial"/>
          <w:szCs w:val="22"/>
        </w:rPr>
        <w:t>e</w:t>
      </w:r>
      <w:r w:rsidRPr="00A85FEA">
        <w:rPr>
          <w:rFonts w:cs="Arial"/>
          <w:spacing w:val="5"/>
          <w:szCs w:val="22"/>
        </w:rPr>
        <w:t xml:space="preserve"> </w:t>
      </w:r>
      <w:r w:rsidRPr="00A85FEA">
        <w:rPr>
          <w:rFonts w:cs="Arial"/>
          <w:szCs w:val="22"/>
        </w:rPr>
        <w:t>un</w:t>
      </w:r>
      <w:r w:rsidRPr="00A85FEA">
        <w:rPr>
          <w:rFonts w:cs="Arial"/>
          <w:spacing w:val="2"/>
          <w:szCs w:val="22"/>
        </w:rPr>
        <w:t xml:space="preserve"> </w:t>
      </w:r>
      <w:r w:rsidRPr="00A85FEA">
        <w:rPr>
          <w:rFonts w:cs="Arial"/>
          <w:szCs w:val="22"/>
        </w:rPr>
        <w:t>p</w:t>
      </w:r>
      <w:r w:rsidRPr="00A85FEA">
        <w:rPr>
          <w:rFonts w:cs="Arial"/>
          <w:spacing w:val="-1"/>
          <w:szCs w:val="22"/>
        </w:rPr>
        <w:t>l</w:t>
      </w:r>
      <w:r w:rsidRPr="00A85FEA">
        <w:rPr>
          <w:rFonts w:cs="Arial"/>
          <w:szCs w:val="22"/>
        </w:rPr>
        <w:t>a</w:t>
      </w:r>
      <w:r w:rsidRPr="00A85FEA">
        <w:rPr>
          <w:rFonts w:cs="Arial"/>
          <w:spacing w:val="-3"/>
          <w:szCs w:val="22"/>
        </w:rPr>
        <w:t>z</w:t>
      </w:r>
      <w:r w:rsidRPr="00A85FEA">
        <w:rPr>
          <w:rFonts w:cs="Arial"/>
          <w:szCs w:val="22"/>
        </w:rPr>
        <w:t>o</w:t>
      </w:r>
      <w:r w:rsidRPr="00A85FEA">
        <w:rPr>
          <w:rFonts w:cs="Arial"/>
          <w:spacing w:val="5"/>
          <w:szCs w:val="22"/>
        </w:rPr>
        <w:t xml:space="preserve"> </w:t>
      </w:r>
      <w:r w:rsidRPr="00A85FEA">
        <w:rPr>
          <w:rFonts w:cs="Arial"/>
          <w:szCs w:val="22"/>
        </w:rPr>
        <w:t>de</w:t>
      </w:r>
      <w:r w:rsidRPr="00A85FEA">
        <w:rPr>
          <w:rFonts w:cs="Arial"/>
          <w:spacing w:val="4"/>
          <w:szCs w:val="22"/>
        </w:rPr>
        <w:t xml:space="preserve"> </w:t>
      </w:r>
      <w:r w:rsidRPr="00A85FEA">
        <w:rPr>
          <w:rFonts w:cs="Arial"/>
          <w:szCs w:val="22"/>
        </w:rPr>
        <w:t>30</w:t>
      </w:r>
      <w:r w:rsidRPr="00A85FEA">
        <w:rPr>
          <w:rFonts w:cs="Arial"/>
          <w:spacing w:val="3"/>
          <w:szCs w:val="22"/>
        </w:rPr>
        <w:t xml:space="preserve"> </w:t>
      </w:r>
      <w:r w:rsidRPr="00A85FEA">
        <w:rPr>
          <w:rFonts w:cs="Arial"/>
          <w:szCs w:val="22"/>
        </w:rPr>
        <w:t>d</w:t>
      </w:r>
      <w:r w:rsidRPr="00A85FEA">
        <w:rPr>
          <w:rFonts w:cs="Arial"/>
          <w:spacing w:val="-4"/>
          <w:szCs w:val="22"/>
        </w:rPr>
        <w:t>í</w:t>
      </w:r>
      <w:r w:rsidRPr="00A85FEA">
        <w:rPr>
          <w:rFonts w:cs="Arial"/>
          <w:szCs w:val="22"/>
        </w:rPr>
        <w:t>as.</w:t>
      </w:r>
      <w:r w:rsidRPr="00A85FEA">
        <w:rPr>
          <w:rFonts w:cs="Arial"/>
          <w:spacing w:val="6"/>
          <w:szCs w:val="22"/>
        </w:rPr>
        <w:t xml:space="preserve"> </w:t>
      </w:r>
      <w:r w:rsidRPr="00A85FEA">
        <w:rPr>
          <w:rFonts w:cs="Arial"/>
          <w:spacing w:val="-1"/>
          <w:szCs w:val="22"/>
        </w:rPr>
        <w:t>C</w:t>
      </w:r>
      <w:r w:rsidRPr="00A85FEA">
        <w:rPr>
          <w:rFonts w:cs="Arial"/>
          <w:szCs w:val="22"/>
        </w:rPr>
        <w:t>on</w:t>
      </w:r>
      <w:r w:rsidRPr="00A85FEA">
        <w:rPr>
          <w:rFonts w:cs="Arial"/>
          <w:spacing w:val="2"/>
          <w:szCs w:val="22"/>
        </w:rPr>
        <w:t xml:space="preserve"> </w:t>
      </w:r>
      <w:r w:rsidRPr="00A85FEA">
        <w:rPr>
          <w:rFonts w:cs="Arial"/>
          <w:szCs w:val="22"/>
        </w:rPr>
        <w:t>p</w:t>
      </w:r>
      <w:r w:rsidRPr="00A85FEA">
        <w:rPr>
          <w:rFonts w:cs="Arial"/>
          <w:spacing w:val="-1"/>
          <w:szCs w:val="22"/>
        </w:rPr>
        <w:t>o</w:t>
      </w:r>
      <w:r w:rsidRPr="00A85FEA">
        <w:rPr>
          <w:rFonts w:cs="Arial"/>
          <w:spacing w:val="-2"/>
          <w:szCs w:val="22"/>
        </w:rPr>
        <w:t>s</w:t>
      </w:r>
      <w:r w:rsidRPr="00A85FEA">
        <w:rPr>
          <w:rFonts w:cs="Arial"/>
          <w:spacing w:val="1"/>
          <w:szCs w:val="22"/>
        </w:rPr>
        <w:t>t</w:t>
      </w:r>
      <w:r w:rsidRPr="00A85FEA">
        <w:rPr>
          <w:rFonts w:cs="Arial"/>
          <w:szCs w:val="22"/>
        </w:rPr>
        <w:t>eri</w:t>
      </w:r>
      <w:r w:rsidRPr="00A85FEA">
        <w:rPr>
          <w:rFonts w:cs="Arial"/>
          <w:spacing w:val="-1"/>
          <w:szCs w:val="22"/>
        </w:rPr>
        <w:t>o</w:t>
      </w:r>
      <w:r w:rsidRPr="00A85FEA">
        <w:rPr>
          <w:rFonts w:cs="Arial"/>
          <w:spacing w:val="1"/>
          <w:szCs w:val="22"/>
        </w:rPr>
        <w:t>r</w:t>
      </w:r>
      <w:r w:rsidRPr="00A85FEA">
        <w:rPr>
          <w:rFonts w:cs="Arial"/>
          <w:spacing w:val="-1"/>
          <w:szCs w:val="22"/>
        </w:rPr>
        <w:t>i</w:t>
      </w:r>
      <w:r w:rsidRPr="00A85FEA">
        <w:rPr>
          <w:rFonts w:cs="Arial"/>
          <w:szCs w:val="22"/>
        </w:rPr>
        <w:t>d</w:t>
      </w:r>
      <w:r w:rsidRPr="00A85FEA">
        <w:rPr>
          <w:rFonts w:cs="Arial"/>
          <w:spacing w:val="-1"/>
          <w:szCs w:val="22"/>
        </w:rPr>
        <w:t>a</w:t>
      </w:r>
      <w:r w:rsidRPr="00A85FEA">
        <w:rPr>
          <w:rFonts w:cs="Arial"/>
          <w:szCs w:val="22"/>
        </w:rPr>
        <w:t>d</w:t>
      </w:r>
      <w:r w:rsidRPr="00A85FEA">
        <w:rPr>
          <w:rFonts w:cs="Arial"/>
          <w:spacing w:val="3"/>
          <w:szCs w:val="22"/>
        </w:rPr>
        <w:t xml:space="preserve"> </w:t>
      </w:r>
      <w:r w:rsidRPr="00A85FEA">
        <w:rPr>
          <w:rFonts w:cs="Arial"/>
          <w:szCs w:val="22"/>
        </w:rPr>
        <w:t>a</w:t>
      </w:r>
      <w:r w:rsidRPr="00A85FEA">
        <w:rPr>
          <w:rFonts w:cs="Arial"/>
          <w:spacing w:val="3"/>
          <w:szCs w:val="22"/>
        </w:rPr>
        <w:t xml:space="preserve"> </w:t>
      </w:r>
      <w:r w:rsidRPr="00A85FEA">
        <w:rPr>
          <w:rFonts w:cs="Arial"/>
          <w:szCs w:val="22"/>
        </w:rPr>
        <w:t>é</w:t>
      </w:r>
      <w:r w:rsidRPr="00A85FEA">
        <w:rPr>
          <w:rFonts w:cs="Arial"/>
          <w:spacing w:val="-3"/>
          <w:szCs w:val="22"/>
        </w:rPr>
        <w:t>s</w:t>
      </w:r>
      <w:r w:rsidRPr="00A85FEA">
        <w:rPr>
          <w:rFonts w:cs="Arial"/>
          <w:spacing w:val="1"/>
          <w:szCs w:val="22"/>
        </w:rPr>
        <w:t>t</w:t>
      </w:r>
      <w:r w:rsidRPr="00A85FEA">
        <w:rPr>
          <w:rFonts w:cs="Arial"/>
          <w:szCs w:val="22"/>
        </w:rPr>
        <w:t>e</w:t>
      </w:r>
      <w:r w:rsidRPr="00A85FEA">
        <w:rPr>
          <w:rFonts w:cs="Arial"/>
          <w:spacing w:val="3"/>
          <w:szCs w:val="22"/>
        </w:rPr>
        <w:t xml:space="preserve"> </w:t>
      </w:r>
      <w:r w:rsidRPr="00A85FEA">
        <w:rPr>
          <w:rFonts w:cs="Arial"/>
          <w:szCs w:val="22"/>
        </w:rPr>
        <w:t>se</w:t>
      </w:r>
      <w:r w:rsidRPr="00A85FEA">
        <w:rPr>
          <w:rFonts w:cs="Arial"/>
          <w:spacing w:val="3"/>
          <w:szCs w:val="22"/>
        </w:rPr>
        <w:t xml:space="preserve"> </w:t>
      </w:r>
      <w:r w:rsidRPr="00A85FEA">
        <w:rPr>
          <w:rFonts w:cs="Arial"/>
          <w:szCs w:val="22"/>
        </w:rPr>
        <w:t>pr</w:t>
      </w:r>
      <w:r w:rsidRPr="00A85FEA">
        <w:rPr>
          <w:rFonts w:cs="Arial"/>
          <w:spacing w:val="-2"/>
          <w:szCs w:val="22"/>
        </w:rPr>
        <w:t>o</w:t>
      </w:r>
      <w:r w:rsidRPr="00A85FEA">
        <w:rPr>
          <w:rFonts w:cs="Arial"/>
          <w:szCs w:val="22"/>
        </w:rPr>
        <w:t>ce</w:t>
      </w:r>
      <w:r w:rsidRPr="00A85FEA">
        <w:rPr>
          <w:rFonts w:cs="Arial"/>
          <w:spacing w:val="-1"/>
          <w:szCs w:val="22"/>
        </w:rPr>
        <w:t>d</w:t>
      </w:r>
      <w:r w:rsidRPr="00A85FEA">
        <w:rPr>
          <w:rFonts w:cs="Arial"/>
          <w:szCs w:val="22"/>
        </w:rPr>
        <w:t xml:space="preserve">e a </w:t>
      </w:r>
      <w:r w:rsidRPr="00A85FEA">
        <w:rPr>
          <w:rFonts w:cs="Arial"/>
          <w:spacing w:val="1"/>
          <w:szCs w:val="22"/>
        </w:rPr>
        <w:t>r</w:t>
      </w:r>
      <w:r w:rsidRPr="00A85FEA">
        <w:rPr>
          <w:rFonts w:cs="Arial"/>
          <w:szCs w:val="22"/>
        </w:rPr>
        <w:t>e</w:t>
      </w:r>
      <w:r w:rsidRPr="00A85FEA">
        <w:rPr>
          <w:rFonts w:cs="Arial"/>
          <w:spacing w:val="-1"/>
          <w:szCs w:val="22"/>
        </w:rPr>
        <w:t>ali</w:t>
      </w:r>
      <w:r w:rsidRPr="00A85FEA">
        <w:rPr>
          <w:rFonts w:cs="Arial"/>
          <w:spacing w:val="-2"/>
          <w:szCs w:val="22"/>
        </w:rPr>
        <w:t>z</w:t>
      </w:r>
      <w:r w:rsidRPr="00A85FEA">
        <w:rPr>
          <w:rFonts w:cs="Arial"/>
          <w:szCs w:val="22"/>
        </w:rPr>
        <w:t>ar</w:t>
      </w:r>
      <w:r w:rsidRPr="00A85FEA">
        <w:rPr>
          <w:rFonts w:cs="Arial"/>
          <w:spacing w:val="3"/>
          <w:szCs w:val="22"/>
        </w:rPr>
        <w:t xml:space="preserve"> </w:t>
      </w:r>
      <w:r w:rsidRPr="00A85FEA">
        <w:rPr>
          <w:rFonts w:cs="Arial"/>
          <w:spacing w:val="-1"/>
          <w:szCs w:val="22"/>
        </w:rPr>
        <w:t>l</w:t>
      </w:r>
      <w:r w:rsidRPr="00A85FEA">
        <w:rPr>
          <w:rFonts w:cs="Arial"/>
          <w:szCs w:val="22"/>
        </w:rPr>
        <w:t>a</w:t>
      </w:r>
      <w:r w:rsidRPr="00A85FEA">
        <w:rPr>
          <w:rFonts w:cs="Arial"/>
          <w:spacing w:val="2"/>
          <w:szCs w:val="22"/>
        </w:rPr>
        <w:t xml:space="preserve"> </w:t>
      </w:r>
      <w:r w:rsidRPr="00A85FEA">
        <w:rPr>
          <w:rFonts w:cs="Arial"/>
          <w:szCs w:val="22"/>
        </w:rPr>
        <w:t>a</w:t>
      </w:r>
      <w:r w:rsidRPr="00A85FEA">
        <w:rPr>
          <w:rFonts w:cs="Arial"/>
          <w:spacing w:val="-1"/>
          <w:szCs w:val="22"/>
        </w:rPr>
        <w:t>n</w:t>
      </w:r>
      <w:r w:rsidRPr="00A85FEA">
        <w:rPr>
          <w:rFonts w:cs="Arial"/>
          <w:szCs w:val="22"/>
        </w:rPr>
        <w:t>u</w:t>
      </w:r>
      <w:r w:rsidRPr="00A85FEA">
        <w:rPr>
          <w:rFonts w:cs="Arial"/>
          <w:spacing w:val="-1"/>
          <w:szCs w:val="22"/>
        </w:rPr>
        <w:t>l</w:t>
      </w:r>
      <w:r w:rsidRPr="00A85FEA">
        <w:rPr>
          <w:rFonts w:cs="Arial"/>
          <w:szCs w:val="22"/>
        </w:rPr>
        <w:t>ac</w:t>
      </w:r>
      <w:r w:rsidRPr="00A85FEA">
        <w:rPr>
          <w:rFonts w:cs="Arial"/>
          <w:spacing w:val="-1"/>
          <w:szCs w:val="22"/>
        </w:rPr>
        <w:t>i</w:t>
      </w:r>
      <w:r w:rsidRPr="00A85FEA">
        <w:rPr>
          <w:rFonts w:cs="Arial"/>
          <w:szCs w:val="22"/>
        </w:rPr>
        <w:t>ón</w:t>
      </w:r>
      <w:r w:rsidRPr="00A85FEA">
        <w:rPr>
          <w:rFonts w:cs="Arial"/>
          <w:spacing w:val="3"/>
          <w:szCs w:val="22"/>
        </w:rPr>
        <w:t xml:space="preserve"> </w:t>
      </w:r>
      <w:r w:rsidRPr="00A85FEA">
        <w:rPr>
          <w:rFonts w:cs="Arial"/>
          <w:spacing w:val="2"/>
          <w:szCs w:val="22"/>
        </w:rPr>
        <w:t>d</w:t>
      </w:r>
      <w:r w:rsidRPr="00A85FEA">
        <w:rPr>
          <w:rFonts w:cs="Arial"/>
          <w:spacing w:val="-3"/>
          <w:szCs w:val="22"/>
        </w:rPr>
        <w:t>e</w:t>
      </w:r>
      <w:r w:rsidRPr="00A85FEA">
        <w:rPr>
          <w:rFonts w:cs="Arial"/>
          <w:spacing w:val="3"/>
          <w:szCs w:val="22"/>
        </w:rPr>
        <w:t>f</w:t>
      </w:r>
      <w:r w:rsidRPr="00A85FEA">
        <w:rPr>
          <w:rFonts w:cs="Arial"/>
          <w:spacing w:val="-1"/>
          <w:szCs w:val="22"/>
        </w:rPr>
        <w:t>i</w:t>
      </w:r>
      <w:r w:rsidRPr="00A85FEA">
        <w:rPr>
          <w:rFonts w:cs="Arial"/>
          <w:szCs w:val="22"/>
        </w:rPr>
        <w:t>n</w:t>
      </w:r>
      <w:r w:rsidRPr="00A85FEA">
        <w:rPr>
          <w:rFonts w:cs="Arial"/>
          <w:spacing w:val="-1"/>
          <w:szCs w:val="22"/>
        </w:rPr>
        <w:t>i</w:t>
      </w:r>
      <w:r w:rsidRPr="00A85FEA">
        <w:rPr>
          <w:rFonts w:cs="Arial"/>
          <w:spacing w:val="1"/>
          <w:szCs w:val="22"/>
        </w:rPr>
        <w:t>t</w:t>
      </w:r>
      <w:r w:rsidRPr="00A85FEA">
        <w:rPr>
          <w:rFonts w:cs="Arial"/>
          <w:spacing w:val="-1"/>
          <w:szCs w:val="22"/>
        </w:rPr>
        <w:t>i</w:t>
      </w:r>
      <w:r w:rsidRPr="00A85FEA">
        <w:rPr>
          <w:rFonts w:cs="Arial"/>
          <w:spacing w:val="-2"/>
          <w:szCs w:val="22"/>
        </w:rPr>
        <w:t>v</w:t>
      </w:r>
      <w:r w:rsidRPr="00A85FEA">
        <w:rPr>
          <w:rFonts w:cs="Arial"/>
          <w:szCs w:val="22"/>
        </w:rPr>
        <w:t>a</w:t>
      </w:r>
      <w:r w:rsidRPr="00A85FEA">
        <w:rPr>
          <w:rFonts w:cs="Arial"/>
          <w:spacing w:val="3"/>
          <w:szCs w:val="22"/>
        </w:rPr>
        <w:t xml:space="preserve"> </w:t>
      </w:r>
      <w:r w:rsidRPr="00A85FEA">
        <w:rPr>
          <w:rFonts w:cs="Arial"/>
          <w:szCs w:val="22"/>
        </w:rPr>
        <w:t>d</w:t>
      </w:r>
      <w:r w:rsidRPr="00A85FEA">
        <w:rPr>
          <w:rFonts w:cs="Arial"/>
          <w:spacing w:val="-1"/>
          <w:szCs w:val="22"/>
        </w:rPr>
        <w:t>e</w:t>
      </w:r>
      <w:r w:rsidRPr="00A85FEA">
        <w:rPr>
          <w:rFonts w:cs="Arial"/>
          <w:szCs w:val="22"/>
        </w:rPr>
        <w:t>l</w:t>
      </w:r>
      <w:r w:rsidRPr="00A85FEA">
        <w:rPr>
          <w:rFonts w:cs="Arial"/>
          <w:spacing w:val="1"/>
          <w:szCs w:val="22"/>
        </w:rPr>
        <w:t xml:space="preserve"> </w:t>
      </w:r>
      <w:r w:rsidRPr="00A85FEA">
        <w:rPr>
          <w:rFonts w:cs="Arial"/>
          <w:szCs w:val="22"/>
        </w:rPr>
        <w:t>p</w:t>
      </w:r>
      <w:r w:rsidRPr="00A85FEA">
        <w:rPr>
          <w:rFonts w:cs="Arial"/>
          <w:spacing w:val="-1"/>
          <w:szCs w:val="22"/>
        </w:rPr>
        <w:t>a</w:t>
      </w:r>
      <w:r w:rsidRPr="00A85FEA">
        <w:rPr>
          <w:rFonts w:cs="Arial"/>
          <w:spacing w:val="2"/>
          <w:szCs w:val="22"/>
        </w:rPr>
        <w:t>g</w:t>
      </w:r>
      <w:r w:rsidRPr="00A85FEA">
        <w:rPr>
          <w:rFonts w:cs="Arial"/>
          <w:szCs w:val="22"/>
        </w:rPr>
        <w:t>o; se d</w:t>
      </w:r>
      <w:r w:rsidRPr="00A85FEA">
        <w:rPr>
          <w:rFonts w:cs="Arial"/>
          <w:spacing w:val="-1"/>
          <w:szCs w:val="22"/>
        </w:rPr>
        <w:t>e</w:t>
      </w:r>
      <w:r w:rsidRPr="00A85FEA">
        <w:rPr>
          <w:rFonts w:cs="Arial"/>
          <w:szCs w:val="22"/>
        </w:rPr>
        <w:t>b</w:t>
      </w:r>
      <w:r w:rsidRPr="00A85FEA">
        <w:rPr>
          <w:rFonts w:cs="Arial"/>
          <w:spacing w:val="-1"/>
          <w:szCs w:val="22"/>
        </w:rPr>
        <w:t>e</w:t>
      </w:r>
      <w:r w:rsidRPr="00A85FEA">
        <w:rPr>
          <w:rFonts w:cs="Arial"/>
          <w:spacing w:val="1"/>
          <w:szCs w:val="22"/>
        </w:rPr>
        <w:t>r</w:t>
      </w:r>
      <w:r w:rsidRPr="00A85FEA">
        <w:rPr>
          <w:rFonts w:cs="Arial"/>
          <w:spacing w:val="-3"/>
          <w:szCs w:val="22"/>
        </w:rPr>
        <w:t>á</w:t>
      </w:r>
      <w:r w:rsidRPr="00A85FEA">
        <w:rPr>
          <w:rFonts w:cs="Arial"/>
          <w:szCs w:val="22"/>
        </w:rPr>
        <w:t>n</w:t>
      </w:r>
      <w:r w:rsidRPr="00A85FEA">
        <w:rPr>
          <w:rFonts w:cs="Arial"/>
          <w:spacing w:val="15"/>
          <w:szCs w:val="22"/>
        </w:rPr>
        <w:t xml:space="preserve"> </w:t>
      </w:r>
      <w:r w:rsidRPr="00A85FEA">
        <w:rPr>
          <w:rFonts w:cs="Arial"/>
          <w:spacing w:val="2"/>
          <w:szCs w:val="22"/>
        </w:rPr>
        <w:t>g</w:t>
      </w:r>
      <w:r w:rsidRPr="00A85FEA">
        <w:rPr>
          <w:rFonts w:cs="Arial"/>
          <w:szCs w:val="22"/>
        </w:rPr>
        <w:t>e</w:t>
      </w:r>
      <w:r w:rsidRPr="00A85FEA">
        <w:rPr>
          <w:rFonts w:cs="Arial"/>
          <w:spacing w:val="-3"/>
          <w:szCs w:val="22"/>
        </w:rPr>
        <w:t>s</w:t>
      </w:r>
      <w:r w:rsidRPr="00A85FEA">
        <w:rPr>
          <w:rFonts w:cs="Arial"/>
          <w:spacing w:val="1"/>
          <w:szCs w:val="22"/>
        </w:rPr>
        <w:t>t</w:t>
      </w:r>
      <w:r w:rsidRPr="00A85FEA">
        <w:rPr>
          <w:rFonts w:cs="Arial"/>
          <w:spacing w:val="-1"/>
          <w:szCs w:val="22"/>
        </w:rPr>
        <w:t>i</w:t>
      </w:r>
      <w:r w:rsidRPr="00A85FEA">
        <w:rPr>
          <w:rFonts w:cs="Arial"/>
          <w:szCs w:val="22"/>
        </w:rPr>
        <w:t>o</w:t>
      </w:r>
      <w:r w:rsidRPr="00A85FEA">
        <w:rPr>
          <w:rFonts w:cs="Arial"/>
          <w:spacing w:val="-1"/>
          <w:szCs w:val="22"/>
        </w:rPr>
        <w:t>n</w:t>
      </w:r>
      <w:r w:rsidRPr="00A85FEA">
        <w:rPr>
          <w:rFonts w:cs="Arial"/>
          <w:szCs w:val="22"/>
        </w:rPr>
        <w:t>ar con</w:t>
      </w:r>
      <w:r w:rsidRPr="00A85FEA">
        <w:rPr>
          <w:rFonts w:cs="Arial"/>
          <w:spacing w:val="15"/>
          <w:szCs w:val="22"/>
        </w:rPr>
        <w:t xml:space="preserve"> </w:t>
      </w:r>
      <w:r w:rsidRPr="00A85FEA">
        <w:rPr>
          <w:rFonts w:cs="Arial"/>
          <w:szCs w:val="22"/>
        </w:rPr>
        <w:t>el</w:t>
      </w:r>
      <w:r w:rsidRPr="00A85FEA">
        <w:rPr>
          <w:rFonts w:cs="Arial"/>
          <w:spacing w:val="9"/>
          <w:szCs w:val="22"/>
        </w:rPr>
        <w:t xml:space="preserve"> </w:t>
      </w:r>
      <w:r w:rsidRPr="00A85FEA">
        <w:rPr>
          <w:rFonts w:cs="Arial"/>
          <w:spacing w:val="3"/>
          <w:szCs w:val="22"/>
        </w:rPr>
        <w:t>f</w:t>
      </w:r>
      <w:r w:rsidRPr="00A85FEA">
        <w:rPr>
          <w:rFonts w:cs="Arial"/>
          <w:spacing w:val="-1"/>
          <w:szCs w:val="22"/>
        </w:rPr>
        <w:t>i</w:t>
      </w:r>
      <w:r w:rsidRPr="00A85FEA">
        <w:rPr>
          <w:rFonts w:cs="Arial"/>
          <w:szCs w:val="22"/>
        </w:rPr>
        <w:t>n</w:t>
      </w:r>
      <w:r w:rsidRPr="00A85FEA">
        <w:rPr>
          <w:rFonts w:cs="Arial"/>
          <w:spacing w:val="13"/>
          <w:szCs w:val="22"/>
        </w:rPr>
        <w:t xml:space="preserve"> </w:t>
      </w:r>
      <w:r w:rsidRPr="00A85FEA">
        <w:rPr>
          <w:rFonts w:cs="Arial"/>
          <w:szCs w:val="22"/>
        </w:rPr>
        <w:t>de</w:t>
      </w:r>
      <w:r w:rsidRPr="00A85FEA">
        <w:rPr>
          <w:rFonts w:cs="Arial"/>
          <w:spacing w:val="15"/>
          <w:szCs w:val="22"/>
        </w:rPr>
        <w:t xml:space="preserve"> </w:t>
      </w:r>
      <w:r w:rsidRPr="00A85FEA">
        <w:rPr>
          <w:rFonts w:cs="Arial"/>
          <w:spacing w:val="-1"/>
          <w:szCs w:val="22"/>
        </w:rPr>
        <w:t>l</w:t>
      </w:r>
      <w:r w:rsidRPr="00A85FEA">
        <w:rPr>
          <w:rFonts w:cs="Arial"/>
          <w:spacing w:val="-3"/>
          <w:szCs w:val="22"/>
        </w:rPr>
        <w:t>o</w:t>
      </w:r>
      <w:r w:rsidRPr="00A85FEA">
        <w:rPr>
          <w:rFonts w:cs="Arial"/>
          <w:szCs w:val="22"/>
        </w:rPr>
        <w:t>grar su</w:t>
      </w:r>
      <w:r w:rsidRPr="00A85FEA">
        <w:rPr>
          <w:rFonts w:cs="Arial"/>
          <w:spacing w:val="2"/>
          <w:szCs w:val="22"/>
        </w:rPr>
        <w:t xml:space="preserve"> </w:t>
      </w:r>
      <w:r w:rsidRPr="00A85FEA">
        <w:rPr>
          <w:rFonts w:cs="Arial"/>
          <w:spacing w:val="-1"/>
          <w:szCs w:val="22"/>
        </w:rPr>
        <w:t>l</w:t>
      </w:r>
      <w:r w:rsidRPr="00A85FEA">
        <w:rPr>
          <w:rFonts w:cs="Arial"/>
          <w:szCs w:val="22"/>
        </w:rPr>
        <w:t>e</w:t>
      </w:r>
      <w:r w:rsidRPr="00A85FEA">
        <w:rPr>
          <w:rFonts w:cs="Arial"/>
          <w:spacing w:val="2"/>
          <w:szCs w:val="22"/>
        </w:rPr>
        <w:t>g</w:t>
      </w:r>
      <w:r w:rsidRPr="00A85FEA">
        <w:rPr>
          <w:rFonts w:cs="Arial"/>
          <w:szCs w:val="22"/>
        </w:rPr>
        <w:t>a</w:t>
      </w:r>
      <w:r w:rsidRPr="00A85FEA">
        <w:rPr>
          <w:rFonts w:cs="Arial"/>
          <w:spacing w:val="-1"/>
          <w:szCs w:val="22"/>
        </w:rPr>
        <w:t>li</w:t>
      </w:r>
      <w:r w:rsidRPr="00A85FEA">
        <w:rPr>
          <w:rFonts w:cs="Arial"/>
          <w:spacing w:val="-2"/>
          <w:szCs w:val="22"/>
        </w:rPr>
        <w:t>z</w:t>
      </w:r>
      <w:r w:rsidRPr="00A85FEA">
        <w:rPr>
          <w:rFonts w:cs="Arial"/>
          <w:szCs w:val="22"/>
        </w:rPr>
        <w:t>ac</w:t>
      </w:r>
      <w:r w:rsidRPr="00A85FEA">
        <w:rPr>
          <w:rFonts w:cs="Arial"/>
          <w:spacing w:val="-1"/>
          <w:szCs w:val="22"/>
        </w:rPr>
        <w:t>i</w:t>
      </w:r>
      <w:r w:rsidRPr="00A85FEA">
        <w:rPr>
          <w:rFonts w:cs="Arial"/>
          <w:szCs w:val="22"/>
        </w:rPr>
        <w:t>ón.</w:t>
      </w:r>
      <w:r w:rsidRPr="00A85FEA">
        <w:rPr>
          <w:rFonts w:cs="Arial"/>
          <w:spacing w:val="3"/>
          <w:szCs w:val="22"/>
        </w:rPr>
        <w:t xml:space="preserve"> </w:t>
      </w:r>
    </w:p>
    <w:p w14:paraId="2C09CF1C" w14:textId="77777777" w:rsidR="00F53AB1" w:rsidRPr="00A85FEA" w:rsidRDefault="00F53AB1" w:rsidP="00D87929">
      <w:pPr>
        <w:rPr>
          <w:rFonts w:cs="Arial"/>
          <w:szCs w:val="22"/>
          <w:shd w:val="clear" w:color="auto" w:fill="FFFFFF"/>
          <w:lang w:val="es-ES"/>
        </w:rPr>
      </w:pPr>
    </w:p>
    <w:p w14:paraId="0F5B2700" w14:textId="77777777" w:rsidR="00F53AB1" w:rsidRPr="00A85FEA" w:rsidRDefault="00F53AB1" w:rsidP="00D87929">
      <w:pPr>
        <w:rPr>
          <w:rFonts w:cs="Arial"/>
          <w:bCs/>
          <w:iCs/>
          <w:szCs w:val="22"/>
          <w:lang w:val="es-ES"/>
        </w:rPr>
      </w:pPr>
    </w:p>
    <w:p w14:paraId="36F3E136" w14:textId="77777777" w:rsidR="00F53AB1" w:rsidRPr="00A85FEA" w:rsidRDefault="00F53AB1" w:rsidP="00D87929">
      <w:pPr>
        <w:rPr>
          <w:rFonts w:cs="Arial"/>
          <w:bCs/>
          <w:iCs/>
          <w:szCs w:val="22"/>
        </w:rPr>
      </w:pPr>
      <w:r w:rsidRPr="00A85FEA">
        <w:rPr>
          <w:rFonts w:cs="Arial"/>
          <w:bCs/>
          <w:iCs/>
          <w:szCs w:val="22"/>
        </w:rPr>
        <w:t>1.8.1. Control al efectivo restringido</w:t>
      </w:r>
    </w:p>
    <w:p w14:paraId="4513AB46" w14:textId="77777777" w:rsidR="00F53AB1" w:rsidRPr="00A85FEA" w:rsidRDefault="00F53AB1" w:rsidP="00D87929">
      <w:pPr>
        <w:rPr>
          <w:rFonts w:cs="Arial"/>
          <w:bCs/>
          <w:iCs/>
          <w:szCs w:val="22"/>
        </w:rPr>
      </w:pPr>
    </w:p>
    <w:p w14:paraId="1E9E65B6" w14:textId="77777777" w:rsidR="00F53AB1" w:rsidRPr="00A85FEA" w:rsidRDefault="00F53AB1" w:rsidP="00D87929">
      <w:pPr>
        <w:rPr>
          <w:rFonts w:cs="Arial"/>
          <w:bCs/>
          <w:iCs/>
          <w:szCs w:val="22"/>
        </w:rPr>
      </w:pPr>
      <w:r w:rsidRPr="00A85FEA">
        <w:rPr>
          <w:rFonts w:cs="Arial"/>
          <w:bCs/>
          <w:iCs/>
          <w:szCs w:val="22"/>
        </w:rPr>
        <w:t>Además de los controles contables del efectivo y equivalentes al efectivo, para el efectivo restringido se realizará:</w:t>
      </w:r>
    </w:p>
    <w:p w14:paraId="3DB0C352" w14:textId="77777777" w:rsidR="0037435B" w:rsidRPr="00A85FEA" w:rsidRDefault="0037435B" w:rsidP="00D87929">
      <w:pPr>
        <w:rPr>
          <w:rStyle w:val="apple-converted-space"/>
          <w:rFonts w:cs="Arial"/>
          <w:szCs w:val="22"/>
          <w:shd w:val="clear" w:color="auto" w:fill="FFFFFF"/>
        </w:rPr>
      </w:pPr>
    </w:p>
    <w:p w14:paraId="4141F037" w14:textId="77777777" w:rsidR="00F53AB1" w:rsidRPr="00A85FEA" w:rsidRDefault="00F53AB1" w:rsidP="0037435B">
      <w:pPr>
        <w:jc w:val="both"/>
        <w:rPr>
          <w:rFonts w:cs="Arial"/>
          <w:szCs w:val="22"/>
          <w:shd w:val="clear" w:color="auto" w:fill="FFFFFF"/>
        </w:rPr>
      </w:pPr>
      <w:r w:rsidRPr="00A85FEA">
        <w:rPr>
          <w:rFonts w:cs="Arial"/>
          <w:szCs w:val="22"/>
          <w:shd w:val="clear" w:color="auto" w:fill="FFFFFF"/>
        </w:rPr>
        <w:t>Los rendimientos financieros que por convenio o por marco legal deba reintegrarse a un tercero, estos se registraran como recaudos recibidos para terceros.</w:t>
      </w:r>
    </w:p>
    <w:p w14:paraId="19A93624" w14:textId="77777777" w:rsidR="00F53AB1" w:rsidRPr="00A85FEA" w:rsidRDefault="00F53AB1" w:rsidP="0037435B">
      <w:pPr>
        <w:jc w:val="both"/>
        <w:rPr>
          <w:rFonts w:cs="Arial"/>
          <w:bCs/>
          <w:iCs/>
          <w:szCs w:val="22"/>
        </w:rPr>
      </w:pPr>
      <w:r w:rsidRPr="00A85FEA">
        <w:rPr>
          <w:rFonts w:cs="Arial"/>
          <w:bCs/>
          <w:iCs/>
          <w:szCs w:val="22"/>
        </w:rPr>
        <w:t xml:space="preserve">Se realiza conciliación con SIIF Nación comparando que los ingresos registrados por </w:t>
      </w:r>
      <w:r w:rsidRPr="00A85FEA">
        <w:rPr>
          <w:rFonts w:eastAsia="Calibri" w:cs="Arial"/>
          <w:szCs w:val="22"/>
        </w:rPr>
        <w:t>la Corporación para el Desarrollo Sostenible del Norte y el Oriente Amazónico – CDA</w:t>
      </w:r>
      <w:r w:rsidRPr="00A85FEA">
        <w:rPr>
          <w:rFonts w:cs="Arial"/>
          <w:bCs/>
          <w:iCs/>
          <w:szCs w:val="22"/>
        </w:rPr>
        <w:t xml:space="preserve"> correspondan a las erogaciones (gastos) de las cuentas del Tesoro Nacional (Contabilidad)</w:t>
      </w:r>
    </w:p>
    <w:p w14:paraId="0B8EB37C" w14:textId="77777777" w:rsidR="00F53AB1" w:rsidRPr="00A85FEA" w:rsidRDefault="00F53AB1" w:rsidP="0037435B">
      <w:pPr>
        <w:jc w:val="both"/>
        <w:rPr>
          <w:rFonts w:cs="Arial"/>
          <w:bCs/>
          <w:iCs/>
          <w:szCs w:val="22"/>
        </w:rPr>
      </w:pPr>
      <w:r w:rsidRPr="00A85FEA">
        <w:rPr>
          <w:rFonts w:cs="Arial"/>
          <w:bCs/>
          <w:iCs/>
          <w:szCs w:val="22"/>
        </w:rPr>
        <w:t>Controlar la ejecución del convenio, objeto del efectivo restringido y la vigencia de la restricción (Tesorería)</w:t>
      </w:r>
    </w:p>
    <w:p w14:paraId="7C885C8F" w14:textId="77777777" w:rsidR="00F53AB1" w:rsidRPr="00A85FEA" w:rsidRDefault="00F53AB1" w:rsidP="0037435B">
      <w:pPr>
        <w:jc w:val="both"/>
        <w:rPr>
          <w:rFonts w:cs="Arial"/>
          <w:bCs/>
          <w:iCs/>
          <w:szCs w:val="22"/>
        </w:rPr>
      </w:pPr>
      <w:r w:rsidRPr="00A85FEA">
        <w:rPr>
          <w:rFonts w:cs="Arial"/>
          <w:bCs/>
          <w:iCs/>
          <w:szCs w:val="22"/>
        </w:rPr>
        <w:t xml:space="preserve">Registrar los recaudos por los diferentes conceptos que envían las seccionales, verificando que el </w:t>
      </w:r>
      <w:r w:rsidR="007D4AC1" w:rsidRPr="00A85FEA">
        <w:rPr>
          <w:rFonts w:cs="Arial"/>
          <w:bCs/>
          <w:iCs/>
          <w:szCs w:val="22"/>
        </w:rPr>
        <w:t>depósito</w:t>
      </w:r>
      <w:r w:rsidRPr="00A85FEA">
        <w:rPr>
          <w:rFonts w:cs="Arial"/>
          <w:bCs/>
          <w:iCs/>
          <w:szCs w:val="22"/>
        </w:rPr>
        <w:t xml:space="preserve"> se haya realizado a la cuenta correspondiente, en el caso que el </w:t>
      </w:r>
      <w:r w:rsidR="007D4AC1" w:rsidRPr="00A85FEA">
        <w:rPr>
          <w:rFonts w:cs="Arial"/>
          <w:bCs/>
          <w:iCs/>
          <w:szCs w:val="22"/>
        </w:rPr>
        <w:t>depósito</w:t>
      </w:r>
      <w:r w:rsidRPr="00A85FEA">
        <w:rPr>
          <w:rFonts w:cs="Arial"/>
          <w:bCs/>
          <w:iCs/>
          <w:szCs w:val="22"/>
        </w:rPr>
        <w:t xml:space="preserve"> se haya hecho en una cuenta diferente, se hará el traslado de fondos. (</w:t>
      </w:r>
      <w:r w:rsidR="007D4AC1" w:rsidRPr="00A85FEA">
        <w:rPr>
          <w:rFonts w:cs="Arial"/>
          <w:bCs/>
          <w:iCs/>
          <w:szCs w:val="22"/>
        </w:rPr>
        <w:t>Tesorería</w:t>
      </w:r>
      <w:r w:rsidRPr="00A85FEA">
        <w:rPr>
          <w:rFonts w:cs="Arial"/>
          <w:bCs/>
          <w:iCs/>
          <w:szCs w:val="22"/>
        </w:rPr>
        <w:t>)</w:t>
      </w:r>
    </w:p>
    <w:p w14:paraId="1653C2DA" w14:textId="77777777" w:rsidR="00F53AB1" w:rsidRPr="00A85FEA" w:rsidRDefault="00F53AB1" w:rsidP="0037435B">
      <w:pPr>
        <w:jc w:val="both"/>
        <w:rPr>
          <w:rFonts w:cs="Arial"/>
          <w:bCs/>
          <w:iCs/>
          <w:szCs w:val="22"/>
        </w:rPr>
      </w:pPr>
      <w:r w:rsidRPr="00A85FEA">
        <w:rPr>
          <w:rFonts w:cs="Arial"/>
          <w:bCs/>
          <w:iCs/>
          <w:szCs w:val="22"/>
        </w:rPr>
        <w:t xml:space="preserve">Una vez el convenio que dio lugar al efectivo restringido, se liquide, tesorería, procederá a cancelar la cuenta bancaria ante la institución respectiva, de tal manera que </w:t>
      </w:r>
      <w:r w:rsidRPr="00A85FEA">
        <w:rPr>
          <w:rFonts w:eastAsia="Calibri" w:cs="Arial"/>
          <w:szCs w:val="22"/>
        </w:rPr>
        <w:t>la Corporación para el Desarrollo Sostenible del Norte y el Oriente Amazónico – CDA</w:t>
      </w:r>
      <w:r w:rsidRPr="00A85FEA">
        <w:rPr>
          <w:rFonts w:cs="Arial"/>
          <w:bCs/>
          <w:iCs/>
          <w:szCs w:val="22"/>
        </w:rPr>
        <w:t xml:space="preserve"> esté libre de cuentas bancarias inactivas.</w:t>
      </w:r>
    </w:p>
    <w:p w14:paraId="2666E410" w14:textId="77777777" w:rsidR="00F53AB1" w:rsidRPr="00A85FEA" w:rsidRDefault="00F53AB1" w:rsidP="0037435B">
      <w:pPr>
        <w:pStyle w:val="Ttulo1"/>
        <w:rPr>
          <w:rFonts w:ascii="Arial" w:hAnsi="Arial" w:cs="Arial"/>
          <w:color w:val="auto"/>
          <w:sz w:val="22"/>
          <w:szCs w:val="22"/>
        </w:rPr>
      </w:pPr>
      <w:bookmarkStart w:id="56" w:name="_Toc525721356"/>
      <w:r w:rsidRPr="00A85FEA">
        <w:rPr>
          <w:rFonts w:ascii="Arial" w:hAnsi="Arial" w:cs="Arial"/>
          <w:color w:val="auto"/>
          <w:sz w:val="22"/>
          <w:szCs w:val="22"/>
        </w:rPr>
        <w:t>1.9. Revelaciones</w:t>
      </w:r>
      <w:bookmarkEnd w:id="56"/>
    </w:p>
    <w:p w14:paraId="5447FC7F" w14:textId="77777777" w:rsidR="00F53AB1" w:rsidRPr="00A85FEA" w:rsidRDefault="00F53AB1" w:rsidP="00D87929">
      <w:pPr>
        <w:rPr>
          <w:rFonts w:eastAsia="Calibri" w:cs="Arial"/>
          <w:szCs w:val="22"/>
        </w:rPr>
      </w:pPr>
    </w:p>
    <w:p w14:paraId="68AE874D" w14:textId="77777777" w:rsidR="00F53AB1" w:rsidRPr="00A85FEA" w:rsidRDefault="00F53AB1" w:rsidP="00D87929">
      <w:pPr>
        <w:rPr>
          <w:rFonts w:cs="Arial"/>
          <w:szCs w:val="22"/>
          <w:shd w:val="clear" w:color="auto" w:fill="FFFFFF"/>
        </w:rPr>
      </w:pPr>
      <w:r w:rsidRPr="00A85FEA">
        <w:rPr>
          <w:rFonts w:eastAsia="Calibri" w:cs="Arial"/>
          <w:szCs w:val="22"/>
        </w:rPr>
        <w:lastRenderedPageBreak/>
        <w:t>La Corporación para el Desarrollo Sostenible del Norte y el Oriente Amazónico – CDA</w:t>
      </w:r>
      <w:r w:rsidRPr="00A85FEA">
        <w:rPr>
          <w:rFonts w:cs="Arial"/>
          <w:szCs w:val="22"/>
          <w:shd w:val="clear" w:color="auto" w:fill="FFFFFF"/>
        </w:rPr>
        <w:t xml:space="preserve"> en cabeza de Tesorería, revelara la siguiente información:</w:t>
      </w:r>
    </w:p>
    <w:p w14:paraId="0A8975C9" w14:textId="77777777" w:rsidR="00F53AB1" w:rsidRPr="00A85FEA" w:rsidRDefault="00F53AB1" w:rsidP="00D87929">
      <w:pPr>
        <w:rPr>
          <w:rFonts w:cs="Arial"/>
          <w:szCs w:val="22"/>
          <w:shd w:val="clear" w:color="auto" w:fill="FFFFFF"/>
        </w:rPr>
      </w:pPr>
    </w:p>
    <w:p w14:paraId="56784735" w14:textId="77777777" w:rsidR="00F53AB1" w:rsidRPr="00A85FEA" w:rsidRDefault="0037435B" w:rsidP="00D87929">
      <w:pPr>
        <w:rPr>
          <w:rFonts w:cs="Arial"/>
          <w:szCs w:val="22"/>
        </w:rPr>
      </w:pPr>
      <w:r w:rsidRPr="00A85FEA">
        <w:rPr>
          <w:rFonts w:cs="Arial"/>
          <w:szCs w:val="22"/>
        </w:rPr>
        <w:t>L</w:t>
      </w:r>
      <w:r w:rsidR="00F53AB1" w:rsidRPr="00A85FEA">
        <w:rPr>
          <w:rFonts w:cs="Arial"/>
          <w:szCs w:val="22"/>
        </w:rPr>
        <w:t>os componentes del efectivo y equivalentes al efectivo;</w:t>
      </w:r>
    </w:p>
    <w:p w14:paraId="5F509604" w14:textId="77777777" w:rsidR="00F53AB1" w:rsidRPr="00A85FEA" w:rsidRDefault="0037435B" w:rsidP="00D87929">
      <w:pPr>
        <w:rPr>
          <w:rFonts w:cs="Arial"/>
          <w:szCs w:val="22"/>
        </w:rPr>
      </w:pPr>
      <w:r w:rsidRPr="00A85FEA">
        <w:rPr>
          <w:rFonts w:cs="Arial"/>
          <w:szCs w:val="22"/>
        </w:rPr>
        <w:t>Cualquier</w:t>
      </w:r>
      <w:r w:rsidR="00F53AB1" w:rsidRPr="00A85FEA">
        <w:rPr>
          <w:rFonts w:cs="Arial"/>
          <w:szCs w:val="22"/>
        </w:rPr>
        <w:t xml:space="preserve"> importe significativo de sus saldos de efectivo y equivalentes al efectivo que, por disposiciones legales, no esté disponible para ser utilizado por parte de la entidad (efectivo restringido)</w:t>
      </w:r>
    </w:p>
    <w:p w14:paraId="31980885" w14:textId="77777777" w:rsidR="00F53AB1" w:rsidRPr="00A85FEA" w:rsidRDefault="0037435B" w:rsidP="00D87929">
      <w:pPr>
        <w:rPr>
          <w:rFonts w:cs="Arial"/>
          <w:szCs w:val="22"/>
        </w:rPr>
      </w:pPr>
      <w:r w:rsidRPr="00A85FEA">
        <w:rPr>
          <w:rFonts w:cs="Arial"/>
          <w:szCs w:val="22"/>
        </w:rPr>
        <w:t>La</w:t>
      </w:r>
      <w:r w:rsidR="00F53AB1" w:rsidRPr="00A85FEA">
        <w:rPr>
          <w:rFonts w:cs="Arial"/>
          <w:szCs w:val="22"/>
        </w:rPr>
        <w:t xml:space="preserve"> información correspondiente a recursos de uso restringido en forma comparativa con el periodo anterior y la explicación de las diferencias significativas</w:t>
      </w:r>
    </w:p>
    <w:p w14:paraId="308BB3D4" w14:textId="77777777" w:rsidR="00F53AB1" w:rsidRPr="00A85FEA" w:rsidRDefault="00F53AB1" w:rsidP="0037435B">
      <w:pPr>
        <w:pStyle w:val="Ttulo1"/>
        <w:rPr>
          <w:rFonts w:ascii="Arial" w:hAnsi="Arial" w:cs="Arial"/>
          <w:color w:val="auto"/>
          <w:sz w:val="22"/>
          <w:szCs w:val="22"/>
          <w:shd w:val="clear" w:color="auto" w:fill="FFFFFF"/>
        </w:rPr>
      </w:pPr>
      <w:bookmarkStart w:id="57" w:name="_Toc525721357"/>
      <w:r w:rsidRPr="00A85FEA">
        <w:rPr>
          <w:rFonts w:ascii="Arial" w:hAnsi="Arial" w:cs="Arial"/>
          <w:color w:val="auto"/>
          <w:sz w:val="22"/>
          <w:szCs w:val="22"/>
          <w:shd w:val="clear" w:color="auto" w:fill="FFFFFF"/>
        </w:rPr>
        <w:t>2. INVERSIONES DE ADMINISTRACION DE LIQUIDEZ</w:t>
      </w:r>
      <w:bookmarkEnd w:id="57"/>
    </w:p>
    <w:p w14:paraId="7A7E99DD" w14:textId="77777777" w:rsidR="00F53AB1" w:rsidRPr="00A85FEA" w:rsidRDefault="00F53AB1" w:rsidP="0037435B">
      <w:pPr>
        <w:pStyle w:val="Ttulo1"/>
        <w:rPr>
          <w:rFonts w:ascii="Arial" w:hAnsi="Arial" w:cs="Arial"/>
          <w:color w:val="auto"/>
          <w:sz w:val="22"/>
          <w:szCs w:val="22"/>
        </w:rPr>
      </w:pPr>
      <w:bookmarkStart w:id="58" w:name="_Toc525721358"/>
      <w:r w:rsidRPr="00A85FEA">
        <w:rPr>
          <w:rFonts w:ascii="Arial" w:hAnsi="Arial" w:cs="Arial"/>
          <w:color w:val="auto"/>
          <w:sz w:val="22"/>
          <w:szCs w:val="22"/>
        </w:rPr>
        <w:t xml:space="preserve">2.1. </w:t>
      </w:r>
      <w:r w:rsidR="007D4AC1" w:rsidRPr="00A85FEA">
        <w:rPr>
          <w:rFonts w:ascii="Arial" w:hAnsi="Arial" w:cs="Arial"/>
          <w:color w:val="auto"/>
          <w:sz w:val="22"/>
          <w:szCs w:val="22"/>
        </w:rPr>
        <w:t>Objetivo</w:t>
      </w:r>
      <w:bookmarkEnd w:id="58"/>
      <w:r w:rsidRPr="00A85FEA">
        <w:rPr>
          <w:rFonts w:ascii="Arial" w:hAnsi="Arial" w:cs="Arial"/>
          <w:color w:val="auto"/>
          <w:sz w:val="22"/>
          <w:szCs w:val="22"/>
        </w:rPr>
        <w:t xml:space="preserve"> </w:t>
      </w:r>
    </w:p>
    <w:p w14:paraId="65E1A8EC" w14:textId="77777777" w:rsidR="00F53AB1" w:rsidRPr="00A85FEA" w:rsidRDefault="00F53AB1" w:rsidP="00D87929">
      <w:pPr>
        <w:rPr>
          <w:rFonts w:cs="Arial"/>
          <w:szCs w:val="22"/>
        </w:rPr>
      </w:pPr>
    </w:p>
    <w:p w14:paraId="1D1A4678" w14:textId="77777777" w:rsidR="00F53AB1" w:rsidRPr="00A85FEA" w:rsidRDefault="00F53AB1" w:rsidP="00EA0B00">
      <w:pPr>
        <w:jc w:val="both"/>
        <w:rPr>
          <w:rFonts w:cs="Arial"/>
          <w:szCs w:val="22"/>
          <w:shd w:val="clear" w:color="auto" w:fill="FFFFFF"/>
        </w:rPr>
      </w:pPr>
      <w:r w:rsidRPr="00A85FEA">
        <w:rPr>
          <w:rFonts w:cs="Arial"/>
          <w:szCs w:val="22"/>
        </w:rPr>
        <w:t>Establecer los lineamientos contables para que la Corporación para el Desarrollo Sostenible del Norte y el Oriente Amazónico – CDA reconozca, mida, revele y presente las Inversiones de Administración de Liquidez, para que sean de utilidad para los usuarios de los estados financieros.</w:t>
      </w:r>
    </w:p>
    <w:p w14:paraId="140E302E" w14:textId="77777777" w:rsidR="00F53AB1" w:rsidRPr="00A85FEA" w:rsidRDefault="00F53AB1" w:rsidP="0037435B">
      <w:pPr>
        <w:pStyle w:val="Ttulo1"/>
        <w:rPr>
          <w:rFonts w:ascii="Arial" w:hAnsi="Arial" w:cs="Arial"/>
          <w:color w:val="auto"/>
          <w:sz w:val="22"/>
          <w:szCs w:val="22"/>
        </w:rPr>
      </w:pPr>
      <w:bookmarkStart w:id="59" w:name="_Toc525721359"/>
      <w:r w:rsidRPr="00A85FEA">
        <w:rPr>
          <w:rFonts w:ascii="Arial" w:hAnsi="Arial" w:cs="Arial"/>
          <w:color w:val="auto"/>
          <w:sz w:val="22"/>
          <w:szCs w:val="22"/>
        </w:rPr>
        <w:t>2.2. Normatividad relacionada</w:t>
      </w:r>
      <w:bookmarkEnd w:id="59"/>
    </w:p>
    <w:p w14:paraId="7F5B0C3B" w14:textId="77777777" w:rsidR="00F53AB1" w:rsidRPr="00A85FEA" w:rsidRDefault="00F53AB1" w:rsidP="00D87929">
      <w:pPr>
        <w:rPr>
          <w:rFonts w:cs="Arial"/>
          <w:szCs w:val="22"/>
        </w:rPr>
      </w:pPr>
    </w:p>
    <w:p w14:paraId="62F12420" w14:textId="77777777" w:rsidR="00F53AB1" w:rsidRPr="00A85FEA" w:rsidRDefault="00F53AB1" w:rsidP="00EA0B00">
      <w:pPr>
        <w:jc w:val="both"/>
        <w:rPr>
          <w:rFonts w:cs="Arial"/>
          <w:szCs w:val="22"/>
        </w:rPr>
      </w:pPr>
      <w:r w:rsidRPr="00A85FEA">
        <w:rPr>
          <w:rFonts w:cs="Arial"/>
          <w:szCs w:val="22"/>
        </w:rPr>
        <w:t>Normas para el Reconocimiento, Medición, Presentación y Revelación de los Hechos Económicos de las Entidades de Gobierno, Capítulo I. Activos, Numeral 1. Inversiones de administración de liquidez.</w:t>
      </w:r>
    </w:p>
    <w:p w14:paraId="5803C0A8" w14:textId="77777777" w:rsidR="00F53AB1" w:rsidRPr="00A85FEA" w:rsidRDefault="00F53AB1" w:rsidP="0037435B">
      <w:pPr>
        <w:pStyle w:val="Ttulo1"/>
        <w:rPr>
          <w:rFonts w:ascii="Arial" w:hAnsi="Arial" w:cs="Arial"/>
          <w:color w:val="auto"/>
          <w:sz w:val="22"/>
          <w:szCs w:val="22"/>
        </w:rPr>
      </w:pPr>
      <w:bookmarkStart w:id="60" w:name="_Toc525721360"/>
      <w:r w:rsidRPr="00A85FEA">
        <w:rPr>
          <w:rFonts w:ascii="Arial" w:hAnsi="Arial" w:cs="Arial"/>
          <w:color w:val="auto"/>
          <w:sz w:val="22"/>
          <w:szCs w:val="22"/>
        </w:rPr>
        <w:t>2.3. Alcance</w:t>
      </w:r>
      <w:bookmarkEnd w:id="60"/>
    </w:p>
    <w:p w14:paraId="2302CF7D" w14:textId="77777777" w:rsidR="00F53AB1" w:rsidRPr="00A85FEA" w:rsidRDefault="00F53AB1" w:rsidP="00D87929">
      <w:pPr>
        <w:rPr>
          <w:rFonts w:cs="Arial"/>
          <w:szCs w:val="22"/>
        </w:rPr>
      </w:pPr>
    </w:p>
    <w:p w14:paraId="3DDEBBD0" w14:textId="77777777" w:rsidR="00F53AB1" w:rsidRPr="00A85FEA" w:rsidRDefault="00F53AB1" w:rsidP="00EA0B00">
      <w:pPr>
        <w:jc w:val="both"/>
        <w:rPr>
          <w:rFonts w:cs="Arial"/>
          <w:szCs w:val="22"/>
          <w:shd w:val="clear" w:color="auto" w:fill="FFFFFF"/>
        </w:rPr>
      </w:pPr>
      <w:r w:rsidRPr="00A85FEA">
        <w:rPr>
          <w:rFonts w:cs="Arial"/>
          <w:szCs w:val="22"/>
          <w:shd w:val="clear" w:color="auto" w:fill="FFFFFF"/>
        </w:rPr>
        <w:t>Esta política aplica para las inversiones de administración de liquidez medidas al costo amortizado.</w:t>
      </w:r>
    </w:p>
    <w:p w14:paraId="24D7E664" w14:textId="77777777" w:rsidR="00F53AB1" w:rsidRPr="00A85FEA" w:rsidRDefault="00F53AB1" w:rsidP="0037435B">
      <w:pPr>
        <w:pStyle w:val="Ttulo1"/>
        <w:rPr>
          <w:rFonts w:ascii="Arial" w:hAnsi="Arial" w:cs="Arial"/>
          <w:color w:val="auto"/>
          <w:sz w:val="22"/>
          <w:szCs w:val="22"/>
        </w:rPr>
      </w:pPr>
      <w:bookmarkStart w:id="61" w:name="_Toc525721361"/>
      <w:r w:rsidRPr="00A85FEA">
        <w:rPr>
          <w:rFonts w:ascii="Arial" w:hAnsi="Arial" w:cs="Arial"/>
          <w:color w:val="auto"/>
          <w:sz w:val="22"/>
          <w:szCs w:val="22"/>
        </w:rPr>
        <w:t>2.4. Política Contable General</w:t>
      </w:r>
      <w:bookmarkEnd w:id="61"/>
    </w:p>
    <w:p w14:paraId="09AE5D47" w14:textId="77777777" w:rsidR="00F53AB1" w:rsidRPr="00A85FEA" w:rsidRDefault="00F53AB1" w:rsidP="00D87929">
      <w:pPr>
        <w:rPr>
          <w:rFonts w:cs="Arial"/>
          <w:szCs w:val="22"/>
          <w:shd w:val="clear" w:color="auto" w:fill="FFFFFF"/>
        </w:rPr>
      </w:pPr>
    </w:p>
    <w:p w14:paraId="013D2332" w14:textId="77777777" w:rsidR="00F53AB1" w:rsidRPr="00A85FEA" w:rsidRDefault="00F53AB1" w:rsidP="00D87929">
      <w:pPr>
        <w:rPr>
          <w:rFonts w:cs="Arial"/>
          <w:szCs w:val="22"/>
          <w:shd w:val="clear" w:color="auto" w:fill="FFFFFF"/>
        </w:rPr>
      </w:pPr>
      <w:r w:rsidRPr="00A85FEA">
        <w:rPr>
          <w:rFonts w:cs="Arial"/>
          <w:szCs w:val="22"/>
        </w:rPr>
        <w:t>Las inversiones son instrumentos financieros activos que creara la Corporación para el Desarrollo Sostenible del Norte y el Oriente Amazónico – CDA cuando tenga excedentes.</w:t>
      </w:r>
    </w:p>
    <w:p w14:paraId="217BE3B2" w14:textId="77777777" w:rsidR="00F53AB1" w:rsidRPr="00A85FEA" w:rsidRDefault="00F53AB1" w:rsidP="0037435B">
      <w:pPr>
        <w:pStyle w:val="Ttulo1"/>
        <w:rPr>
          <w:rFonts w:ascii="Arial" w:hAnsi="Arial" w:cs="Arial"/>
          <w:color w:val="auto"/>
          <w:sz w:val="22"/>
          <w:szCs w:val="22"/>
        </w:rPr>
      </w:pPr>
      <w:bookmarkStart w:id="62" w:name="_Toc525721362"/>
      <w:r w:rsidRPr="00A85FEA">
        <w:rPr>
          <w:rFonts w:ascii="Arial" w:hAnsi="Arial" w:cs="Arial"/>
          <w:color w:val="auto"/>
          <w:sz w:val="22"/>
          <w:szCs w:val="22"/>
        </w:rPr>
        <w:t>2.5. Reconocimiento</w:t>
      </w:r>
      <w:bookmarkEnd w:id="62"/>
    </w:p>
    <w:p w14:paraId="28DAF5CA" w14:textId="77777777" w:rsidR="00F53AB1" w:rsidRPr="00A85FEA" w:rsidRDefault="00F53AB1" w:rsidP="00D87929">
      <w:pPr>
        <w:rPr>
          <w:rFonts w:cs="Arial"/>
          <w:szCs w:val="22"/>
        </w:rPr>
      </w:pPr>
    </w:p>
    <w:p w14:paraId="7314085B" w14:textId="77777777" w:rsidR="00F53AB1" w:rsidRPr="00A85FEA" w:rsidRDefault="00F53AB1" w:rsidP="0037435B">
      <w:pPr>
        <w:jc w:val="both"/>
        <w:rPr>
          <w:rFonts w:cs="Arial"/>
          <w:szCs w:val="22"/>
        </w:rPr>
      </w:pPr>
      <w:r w:rsidRPr="00A85FEA">
        <w:rPr>
          <w:rFonts w:cs="Arial"/>
          <w:szCs w:val="22"/>
        </w:rPr>
        <w:lastRenderedPageBreak/>
        <w:t xml:space="preserve">Se reconocerán como inversiones de administración de liquidez, los recursos financieros colocados en instrumentos de deuda o de patrimonio, con el propósito de obtener rendimientos provenientes de las fluctuaciones del precio o de los flujos contractuales del título durante su vigencia. </w:t>
      </w:r>
    </w:p>
    <w:p w14:paraId="62917591" w14:textId="77777777" w:rsidR="00F53AB1" w:rsidRPr="00A85FEA" w:rsidRDefault="00F53AB1" w:rsidP="0037435B">
      <w:pPr>
        <w:jc w:val="both"/>
        <w:rPr>
          <w:rFonts w:cs="Arial"/>
          <w:szCs w:val="22"/>
        </w:rPr>
      </w:pPr>
    </w:p>
    <w:p w14:paraId="0158307E" w14:textId="77777777" w:rsidR="00F53AB1" w:rsidRPr="00A85FEA" w:rsidRDefault="00F53AB1" w:rsidP="0037435B">
      <w:pPr>
        <w:jc w:val="both"/>
        <w:rPr>
          <w:rFonts w:cs="Arial"/>
          <w:szCs w:val="22"/>
        </w:rPr>
      </w:pPr>
      <w:r w:rsidRPr="00A85FEA">
        <w:rPr>
          <w:rFonts w:cs="Arial"/>
          <w:szCs w:val="22"/>
        </w:rPr>
        <w:t>Los instrumentos de deuda son títulos de renta fija que le otorgan a su tenedor la calidad de acreedor frente al emisor del título. Por su parte, los instrumentos de patrimonio le otorgan al tenedor derechos participativos en los resultados de la entidad emisora.</w:t>
      </w:r>
    </w:p>
    <w:p w14:paraId="2F490C12" w14:textId="77777777" w:rsidR="00F53AB1" w:rsidRPr="00A85FEA" w:rsidRDefault="00F53AB1" w:rsidP="0037435B">
      <w:pPr>
        <w:pStyle w:val="Ttulo1"/>
        <w:rPr>
          <w:rFonts w:ascii="Arial" w:hAnsi="Arial" w:cs="Arial"/>
          <w:color w:val="auto"/>
          <w:sz w:val="22"/>
          <w:szCs w:val="22"/>
        </w:rPr>
      </w:pPr>
      <w:bookmarkStart w:id="63" w:name="_Toc525721363"/>
      <w:r w:rsidRPr="00A85FEA">
        <w:rPr>
          <w:rFonts w:ascii="Arial" w:hAnsi="Arial" w:cs="Arial"/>
          <w:color w:val="auto"/>
          <w:sz w:val="22"/>
          <w:szCs w:val="22"/>
        </w:rPr>
        <w:t>2.6. Clasificación</w:t>
      </w:r>
      <w:bookmarkEnd w:id="63"/>
    </w:p>
    <w:p w14:paraId="2060CE28" w14:textId="77777777" w:rsidR="00F53AB1" w:rsidRPr="00A85FEA" w:rsidRDefault="00F53AB1" w:rsidP="00D87929">
      <w:pPr>
        <w:rPr>
          <w:rFonts w:cs="Arial"/>
          <w:szCs w:val="22"/>
        </w:rPr>
      </w:pPr>
    </w:p>
    <w:p w14:paraId="3CD19BAD" w14:textId="77777777" w:rsidR="00F53AB1" w:rsidRPr="00A85FEA" w:rsidRDefault="00F53AB1" w:rsidP="0037435B">
      <w:pPr>
        <w:jc w:val="both"/>
        <w:rPr>
          <w:rFonts w:cs="Arial"/>
          <w:szCs w:val="22"/>
        </w:rPr>
      </w:pPr>
      <w:r w:rsidRPr="00A85FEA">
        <w:rPr>
          <w:rFonts w:cs="Arial"/>
          <w:szCs w:val="22"/>
        </w:rPr>
        <w:t>Las inversiones de administración de liquidez de la Corporación para el Desarrollo Sostenible del Norte y el Oriente Amazónico – CDA, se clasificarán en la categoría de costo amortizado, cuyos rendimientos provienen de los flujos contractuales del instrumento.</w:t>
      </w:r>
    </w:p>
    <w:p w14:paraId="504E1473" w14:textId="77777777" w:rsidR="00F53AB1" w:rsidRPr="00A85FEA" w:rsidRDefault="00F53AB1" w:rsidP="0037435B">
      <w:pPr>
        <w:pStyle w:val="Ttulo1"/>
        <w:rPr>
          <w:rFonts w:ascii="Arial" w:hAnsi="Arial" w:cs="Arial"/>
          <w:color w:val="auto"/>
          <w:sz w:val="22"/>
          <w:szCs w:val="22"/>
        </w:rPr>
      </w:pPr>
      <w:bookmarkStart w:id="64" w:name="_Toc525721364"/>
      <w:r w:rsidRPr="00A85FEA">
        <w:rPr>
          <w:rFonts w:ascii="Arial" w:hAnsi="Arial" w:cs="Arial"/>
          <w:color w:val="auto"/>
          <w:sz w:val="22"/>
          <w:szCs w:val="22"/>
        </w:rPr>
        <w:t>2.7. Medición inicial</w:t>
      </w:r>
      <w:bookmarkEnd w:id="64"/>
      <w:r w:rsidRPr="00A85FEA">
        <w:rPr>
          <w:rFonts w:ascii="Arial" w:hAnsi="Arial" w:cs="Arial"/>
          <w:color w:val="auto"/>
          <w:sz w:val="22"/>
          <w:szCs w:val="22"/>
        </w:rPr>
        <w:t xml:space="preserve"> </w:t>
      </w:r>
    </w:p>
    <w:p w14:paraId="5E7364C7" w14:textId="77777777" w:rsidR="00F53AB1" w:rsidRPr="00A85FEA" w:rsidRDefault="00F53AB1" w:rsidP="00D87929">
      <w:pPr>
        <w:rPr>
          <w:rFonts w:cs="Arial"/>
          <w:szCs w:val="22"/>
        </w:rPr>
      </w:pPr>
    </w:p>
    <w:p w14:paraId="0BEE20CE" w14:textId="77777777" w:rsidR="00F53AB1" w:rsidRPr="00A85FEA" w:rsidRDefault="00F53AB1" w:rsidP="0037435B">
      <w:pPr>
        <w:jc w:val="both"/>
        <w:rPr>
          <w:rFonts w:cs="Arial"/>
          <w:szCs w:val="22"/>
        </w:rPr>
      </w:pPr>
      <w:r w:rsidRPr="00A85FEA">
        <w:rPr>
          <w:rFonts w:cs="Arial"/>
          <w:szCs w:val="22"/>
        </w:rPr>
        <w:t>Las inversiones de administración de liquidez se medirán inicialmente por el valor de mercado. Cualquier diferencia con el precio de la transacción se reconocerá como ingreso o como gasto en el resultado del periodo, según corresponda, en la fecha de la adquisición. Si la inversión no tiene valor de mercado, se medirá por el precio de la transacción.</w:t>
      </w:r>
    </w:p>
    <w:p w14:paraId="496D31A3" w14:textId="77777777" w:rsidR="00F53AB1" w:rsidRPr="00A85FEA" w:rsidRDefault="00F53AB1" w:rsidP="00D87929">
      <w:pPr>
        <w:rPr>
          <w:rFonts w:cs="Arial"/>
          <w:szCs w:val="22"/>
        </w:rPr>
      </w:pPr>
    </w:p>
    <w:p w14:paraId="7D1619E5" w14:textId="77777777" w:rsidR="00F53AB1" w:rsidRPr="00A85FEA" w:rsidRDefault="00F53AB1" w:rsidP="0037435B">
      <w:pPr>
        <w:jc w:val="both"/>
        <w:rPr>
          <w:rFonts w:cs="Arial"/>
          <w:szCs w:val="22"/>
        </w:rPr>
      </w:pPr>
      <w:r w:rsidRPr="00A85FEA">
        <w:rPr>
          <w:rFonts w:cs="Arial"/>
          <w:szCs w:val="22"/>
        </w:rPr>
        <w:t>Los costos de transacción se tratarán como un mayor valor de la inversión. Si hubiere costos de transacción en los que se incurra con anterioridad al reconocimiento de la inversión se reconocerán como un activo diferido hasta tanto esta se reconozca, momento en el cual se aumentará el valor de la inversión afectando el activo diferido reconocido inicialmente.</w:t>
      </w:r>
    </w:p>
    <w:p w14:paraId="53EC64AB" w14:textId="77777777" w:rsidR="00F53AB1" w:rsidRPr="00A85FEA" w:rsidRDefault="00F53AB1" w:rsidP="0037435B">
      <w:pPr>
        <w:jc w:val="both"/>
        <w:rPr>
          <w:rFonts w:cs="Arial"/>
          <w:szCs w:val="22"/>
        </w:rPr>
      </w:pPr>
    </w:p>
    <w:p w14:paraId="2EDEE557" w14:textId="77777777" w:rsidR="00F53AB1" w:rsidRPr="00A85FEA" w:rsidRDefault="00F53AB1" w:rsidP="0037435B">
      <w:pPr>
        <w:jc w:val="both"/>
        <w:rPr>
          <w:rFonts w:cs="Arial"/>
          <w:szCs w:val="22"/>
          <w:lang w:eastAsia="es-CO"/>
        </w:rPr>
      </w:pPr>
      <w:r w:rsidRPr="00A85FEA">
        <w:rPr>
          <w:rFonts w:cs="Arial"/>
          <w:szCs w:val="22"/>
        </w:rPr>
        <w:t>Los costos de transacción son los costos incrementales directamente atribuibles a la adquisición de una inversión de administración de liquidez. Se entiende como un costo incremental aquel en el que no se habría incurrido si la entidad no hubiera adquirido dicha inversión. Los costos de transacción incluyen, por ejemplo, honorarios y comisiones pagadas a asesores, comisionistas e intermediarios y demás tarifas establecidas por los entes reguladores y bolsas de valores originadas en la adquisición del instrumento.</w:t>
      </w:r>
    </w:p>
    <w:p w14:paraId="3810FFB1" w14:textId="77777777" w:rsidR="00F53AB1" w:rsidRPr="00A85FEA" w:rsidRDefault="00F53AB1" w:rsidP="0037435B">
      <w:pPr>
        <w:jc w:val="both"/>
        <w:rPr>
          <w:rFonts w:cs="Arial"/>
          <w:szCs w:val="22"/>
        </w:rPr>
      </w:pPr>
    </w:p>
    <w:p w14:paraId="7F2DEEE8" w14:textId="77777777" w:rsidR="00F53AB1" w:rsidRPr="00A85FEA" w:rsidRDefault="00F53AB1" w:rsidP="0037435B">
      <w:pPr>
        <w:jc w:val="both"/>
        <w:rPr>
          <w:rFonts w:cs="Arial"/>
          <w:szCs w:val="22"/>
          <w:lang w:eastAsia="es-CO"/>
        </w:rPr>
      </w:pPr>
      <w:r w:rsidRPr="00A85FEA">
        <w:rPr>
          <w:rFonts w:cs="Arial"/>
          <w:szCs w:val="22"/>
        </w:rPr>
        <w:t>La Corporación para el Desarrollo Sostenible del Norte y el Oriente Amazónico – CDA define en su política de inversiones de administración de liquidez medidas al costo amortizado que, si los costos de transacción son inferiores al 1,5% del valor nominal del título comprado, estos se trataran como gasto en el resultado del periodo.</w:t>
      </w:r>
    </w:p>
    <w:p w14:paraId="203330AC" w14:textId="77777777" w:rsidR="00F53AB1" w:rsidRPr="00A85FEA" w:rsidRDefault="00F53AB1" w:rsidP="0037435B">
      <w:pPr>
        <w:pStyle w:val="Ttulo1"/>
        <w:rPr>
          <w:rFonts w:ascii="Arial" w:hAnsi="Arial" w:cs="Arial"/>
          <w:color w:val="auto"/>
          <w:sz w:val="22"/>
          <w:szCs w:val="22"/>
        </w:rPr>
      </w:pPr>
      <w:bookmarkStart w:id="65" w:name="_Toc525721365"/>
      <w:r w:rsidRPr="00A85FEA">
        <w:rPr>
          <w:rFonts w:ascii="Arial" w:hAnsi="Arial" w:cs="Arial"/>
          <w:color w:val="auto"/>
          <w:sz w:val="22"/>
          <w:szCs w:val="22"/>
        </w:rPr>
        <w:lastRenderedPageBreak/>
        <w:t>2.8. Medición posterior</w:t>
      </w:r>
      <w:bookmarkEnd w:id="65"/>
    </w:p>
    <w:p w14:paraId="66DEE9A9" w14:textId="77777777" w:rsidR="00F53AB1" w:rsidRPr="00A85FEA" w:rsidRDefault="00F53AB1" w:rsidP="00D87929">
      <w:pPr>
        <w:rPr>
          <w:rFonts w:cs="Arial"/>
          <w:szCs w:val="22"/>
        </w:rPr>
      </w:pPr>
    </w:p>
    <w:p w14:paraId="10B6D48F" w14:textId="77777777" w:rsidR="00F53AB1" w:rsidRPr="00A85FEA" w:rsidRDefault="00F53AB1" w:rsidP="0037435B">
      <w:pPr>
        <w:jc w:val="both"/>
        <w:rPr>
          <w:rFonts w:cs="Arial"/>
          <w:szCs w:val="22"/>
        </w:rPr>
      </w:pPr>
      <w:r w:rsidRPr="00A85FEA">
        <w:rPr>
          <w:rFonts w:cs="Arial"/>
          <w:szCs w:val="22"/>
        </w:rPr>
        <w:t>Al fin de cada mes las inversiones de administración de liquidez de la Corporación para el Desarrollo Sostenible del Norte y el Oriente Amazónico – CDA se medirán al costo amortizado.</w:t>
      </w:r>
    </w:p>
    <w:p w14:paraId="51053575" w14:textId="77777777" w:rsidR="00F53AB1" w:rsidRPr="00A85FEA" w:rsidRDefault="00F53AB1" w:rsidP="0037435B">
      <w:pPr>
        <w:jc w:val="both"/>
        <w:rPr>
          <w:rFonts w:cs="Arial"/>
          <w:szCs w:val="22"/>
        </w:rPr>
      </w:pPr>
    </w:p>
    <w:p w14:paraId="4FE0BC98" w14:textId="77777777" w:rsidR="00F53AB1" w:rsidRPr="00A85FEA" w:rsidRDefault="00F53AB1" w:rsidP="0037435B">
      <w:pPr>
        <w:jc w:val="both"/>
        <w:rPr>
          <w:rFonts w:cs="Arial"/>
          <w:szCs w:val="22"/>
        </w:rPr>
      </w:pPr>
      <w:r w:rsidRPr="00A85FEA">
        <w:rPr>
          <w:rFonts w:cs="Arial"/>
          <w:szCs w:val="22"/>
        </w:rPr>
        <w:t>El costo amortizado corresponde al valor inicialmente reconocido más el rendimiento efectivo menos los pagos de capital e intereses menos cualquier disminución por deterioro del valor. El rendimiento efectivo se calculará multiplicando el costo amortizado de la inversión por la tasa de interés efectiva. La tasa de interés efectiva es aquella que hace equivalentes los flujos contractuales del título con su costo amortizado en la fecha de medición. El rendimiento efectivo se reconocerá como un mayor valor de la inversión y como un ingreso en el resultado del periodo.</w:t>
      </w:r>
    </w:p>
    <w:p w14:paraId="7BAFED0E" w14:textId="77777777" w:rsidR="00F53AB1" w:rsidRPr="00A85FEA" w:rsidRDefault="00F53AB1" w:rsidP="0037435B">
      <w:pPr>
        <w:jc w:val="both"/>
        <w:rPr>
          <w:rFonts w:cs="Arial"/>
          <w:szCs w:val="22"/>
        </w:rPr>
      </w:pPr>
    </w:p>
    <w:p w14:paraId="27262A1F" w14:textId="77777777" w:rsidR="00F53AB1" w:rsidRPr="00A85FEA" w:rsidRDefault="00F53AB1" w:rsidP="0037435B">
      <w:pPr>
        <w:jc w:val="both"/>
        <w:rPr>
          <w:rFonts w:cs="Arial"/>
          <w:szCs w:val="22"/>
        </w:rPr>
      </w:pPr>
      <w:r w:rsidRPr="00A85FEA">
        <w:rPr>
          <w:rFonts w:cs="Arial"/>
          <w:szCs w:val="22"/>
        </w:rPr>
        <w:t>Los rendimientos recibidos reducirán el valor de la inversión, afectando el efectivo o equivalentes al efectivo de acuerdo con la contraprestación recibida.</w:t>
      </w:r>
    </w:p>
    <w:p w14:paraId="7E2AC0CC" w14:textId="77777777" w:rsidR="00F53AB1" w:rsidRPr="00A85FEA" w:rsidRDefault="00F53AB1" w:rsidP="00D87929">
      <w:pPr>
        <w:rPr>
          <w:rFonts w:cs="Arial"/>
          <w:szCs w:val="22"/>
        </w:rPr>
      </w:pPr>
    </w:p>
    <w:p w14:paraId="493354A2" w14:textId="77777777" w:rsidR="00F53AB1" w:rsidRPr="00A85FEA" w:rsidRDefault="00F53AB1" w:rsidP="00D87929">
      <w:pPr>
        <w:rPr>
          <w:rFonts w:cs="Arial"/>
          <w:szCs w:val="22"/>
        </w:rPr>
      </w:pPr>
      <w:r w:rsidRPr="00A85FEA">
        <w:rPr>
          <w:rFonts w:cs="Arial"/>
          <w:szCs w:val="22"/>
        </w:rPr>
        <w:t>2.8.1. Deterioro</w:t>
      </w:r>
    </w:p>
    <w:p w14:paraId="5142B4E0" w14:textId="77777777" w:rsidR="00F53AB1" w:rsidRPr="00A85FEA" w:rsidRDefault="00F53AB1" w:rsidP="00D87929">
      <w:pPr>
        <w:rPr>
          <w:rFonts w:cs="Arial"/>
          <w:szCs w:val="22"/>
        </w:rPr>
      </w:pPr>
    </w:p>
    <w:p w14:paraId="0721D00B" w14:textId="77777777" w:rsidR="00F53AB1" w:rsidRPr="00A85FEA" w:rsidRDefault="00F53AB1" w:rsidP="0037435B">
      <w:pPr>
        <w:jc w:val="both"/>
        <w:rPr>
          <w:rFonts w:cs="Arial"/>
          <w:szCs w:val="22"/>
        </w:rPr>
      </w:pPr>
      <w:r w:rsidRPr="00A85FEA">
        <w:rPr>
          <w:rFonts w:cs="Arial"/>
          <w:szCs w:val="22"/>
        </w:rPr>
        <w:t>Las inversiones de administración de liquidez clasificadas al costo amortizado serán objeto de estimaciones de deterioro cuando exista evidencia objetiva del incumplimiento de los pagos a cargo del emisor o del desmejoramiento de sus condiciones crediticias. Para el efecto, por lo menos al final del periodo contable, se verificará si existen indicios de deterioro. El deterioro corresponderá al exceso del valor en libros de la inversión con respecto al valor presente de sus flujos de efectivo futuros estimados (excluyendo las pérdidas crediticias futuras en las que no se haya incurrido), descontados utilizando la tasa de interés efectiva de la inversión en la fecha de medición del deterioro. El deterioro se reconocerá de forma separada como un menor valor de la inversión, afectando el gasto en el resultado del periodo.</w:t>
      </w:r>
    </w:p>
    <w:p w14:paraId="3736E13B" w14:textId="77777777" w:rsidR="00F53AB1" w:rsidRPr="00A85FEA" w:rsidRDefault="00F53AB1" w:rsidP="0037435B">
      <w:pPr>
        <w:jc w:val="both"/>
        <w:rPr>
          <w:rFonts w:cs="Arial"/>
          <w:szCs w:val="22"/>
        </w:rPr>
      </w:pPr>
    </w:p>
    <w:p w14:paraId="4F6B66DB" w14:textId="77777777" w:rsidR="00F53AB1" w:rsidRPr="00A85FEA" w:rsidRDefault="00F53AB1" w:rsidP="0037435B">
      <w:pPr>
        <w:jc w:val="both"/>
        <w:rPr>
          <w:rFonts w:cs="Arial"/>
          <w:szCs w:val="22"/>
        </w:rPr>
      </w:pPr>
      <w:r w:rsidRPr="00A85FEA">
        <w:rPr>
          <w:rFonts w:cs="Arial"/>
          <w:szCs w:val="22"/>
        </w:rPr>
        <w:t>La Corporación para el Desarrollo Sostenible del Norte y el Oriente Amazónico – CDA solo tendrá inversiones de administración de liquidez en instituciones financieras nacionales inscritas a FOGAFIN, donde posee sus cuentas corrientes y de ahorros. Las evidencias objetivas de incumplimientos en los pagos se podrán determinar por noticias nacionales, por información de otros clientes o algún reporte de la superintendencia financiera que adviertan sobre los riesgos de impago de los productos colocados en los bancos.</w:t>
      </w:r>
    </w:p>
    <w:p w14:paraId="6655B1E7" w14:textId="77777777" w:rsidR="00F53AB1" w:rsidRPr="00A85FEA" w:rsidRDefault="00F53AB1" w:rsidP="0037435B">
      <w:pPr>
        <w:pStyle w:val="Ttulo1"/>
        <w:rPr>
          <w:rFonts w:ascii="Arial" w:hAnsi="Arial" w:cs="Arial"/>
          <w:color w:val="auto"/>
          <w:sz w:val="22"/>
          <w:szCs w:val="22"/>
        </w:rPr>
      </w:pPr>
      <w:bookmarkStart w:id="66" w:name="_Toc525721366"/>
      <w:r w:rsidRPr="00A85FEA">
        <w:rPr>
          <w:rFonts w:ascii="Arial" w:hAnsi="Arial" w:cs="Arial"/>
          <w:color w:val="auto"/>
          <w:sz w:val="22"/>
          <w:szCs w:val="22"/>
        </w:rPr>
        <w:t>2.9. Gestión de riesgos</w:t>
      </w:r>
      <w:bookmarkEnd w:id="66"/>
    </w:p>
    <w:p w14:paraId="0096DCAA" w14:textId="77777777" w:rsidR="00F53AB1" w:rsidRPr="00A85FEA" w:rsidRDefault="00F53AB1" w:rsidP="00D87929">
      <w:pPr>
        <w:rPr>
          <w:rFonts w:cs="Arial"/>
          <w:szCs w:val="22"/>
        </w:rPr>
      </w:pPr>
    </w:p>
    <w:p w14:paraId="369C0EE5" w14:textId="77777777" w:rsidR="00F53AB1" w:rsidRPr="00A85FEA" w:rsidRDefault="00F53AB1" w:rsidP="0037435B">
      <w:pPr>
        <w:jc w:val="both"/>
        <w:rPr>
          <w:rFonts w:cs="Arial"/>
          <w:szCs w:val="22"/>
        </w:rPr>
      </w:pPr>
      <w:r w:rsidRPr="00A85FEA">
        <w:rPr>
          <w:rFonts w:cs="Arial"/>
          <w:szCs w:val="22"/>
        </w:rPr>
        <w:t>Riesgo de deterioro del Título por desmejoramiento en las condiciones crediticias del emisor</w:t>
      </w:r>
    </w:p>
    <w:p w14:paraId="1BF43652" w14:textId="77777777" w:rsidR="00F53AB1" w:rsidRPr="00A85FEA" w:rsidRDefault="00F53AB1" w:rsidP="0037435B">
      <w:pPr>
        <w:pStyle w:val="Ttulo1"/>
        <w:rPr>
          <w:rFonts w:ascii="Arial" w:hAnsi="Arial" w:cs="Arial"/>
          <w:color w:val="auto"/>
          <w:sz w:val="22"/>
          <w:szCs w:val="22"/>
        </w:rPr>
      </w:pPr>
      <w:bookmarkStart w:id="67" w:name="_Toc525721367"/>
      <w:r w:rsidRPr="00A85FEA">
        <w:rPr>
          <w:rFonts w:ascii="Arial" w:hAnsi="Arial" w:cs="Arial"/>
          <w:color w:val="auto"/>
          <w:sz w:val="22"/>
          <w:szCs w:val="22"/>
        </w:rPr>
        <w:lastRenderedPageBreak/>
        <w:t>2.10. Controles contables</w:t>
      </w:r>
      <w:bookmarkEnd w:id="67"/>
    </w:p>
    <w:p w14:paraId="02D49F8A" w14:textId="77777777" w:rsidR="00F53AB1" w:rsidRPr="00A85FEA" w:rsidRDefault="00F53AB1" w:rsidP="00D87929">
      <w:pPr>
        <w:rPr>
          <w:rFonts w:cs="Arial"/>
          <w:szCs w:val="22"/>
        </w:rPr>
      </w:pPr>
    </w:p>
    <w:p w14:paraId="31F92A01" w14:textId="77777777" w:rsidR="00F53AB1" w:rsidRPr="00A85FEA" w:rsidRDefault="00F53AB1" w:rsidP="0037435B">
      <w:pPr>
        <w:jc w:val="both"/>
        <w:rPr>
          <w:rFonts w:cs="Arial"/>
          <w:szCs w:val="22"/>
        </w:rPr>
      </w:pPr>
      <w:r w:rsidRPr="00A85FEA">
        <w:rPr>
          <w:rFonts w:cs="Arial"/>
          <w:szCs w:val="22"/>
        </w:rPr>
        <w:t>Realizar las inversiones de administración de liquidez en las instituciones financieras inscritas a FOGAFIN</w:t>
      </w:r>
    </w:p>
    <w:p w14:paraId="3ECD3D09" w14:textId="77777777" w:rsidR="00F53AB1" w:rsidRPr="00A85FEA" w:rsidRDefault="00F53AB1" w:rsidP="0037435B">
      <w:pPr>
        <w:jc w:val="both"/>
        <w:rPr>
          <w:rFonts w:cs="Arial"/>
          <w:szCs w:val="22"/>
        </w:rPr>
      </w:pPr>
      <w:r w:rsidRPr="00A85FEA">
        <w:rPr>
          <w:rFonts w:cs="Arial"/>
          <w:szCs w:val="22"/>
        </w:rPr>
        <w:t>Salvaguardar en caja fuerte los títulos valores que representan la inversión de administración de liquidez (Tesorería)</w:t>
      </w:r>
    </w:p>
    <w:p w14:paraId="62AB567D" w14:textId="77777777" w:rsidR="00F53AB1" w:rsidRPr="00A85FEA" w:rsidRDefault="00F53AB1" w:rsidP="0037435B">
      <w:pPr>
        <w:jc w:val="both"/>
        <w:rPr>
          <w:rFonts w:cs="Arial"/>
          <w:szCs w:val="22"/>
        </w:rPr>
      </w:pPr>
      <w:r w:rsidRPr="00A85FEA">
        <w:rPr>
          <w:rFonts w:cs="Arial"/>
          <w:szCs w:val="22"/>
        </w:rPr>
        <w:t>Tesorería debe entregar a contabilidad mensualmente el importe del costo amortizado de la inversión para la actualización permanente de la misma.</w:t>
      </w:r>
    </w:p>
    <w:p w14:paraId="6221D98B" w14:textId="77777777" w:rsidR="00F53AB1" w:rsidRPr="00A85FEA" w:rsidRDefault="00F53AB1" w:rsidP="0037435B">
      <w:pPr>
        <w:jc w:val="both"/>
        <w:rPr>
          <w:rFonts w:cs="Arial"/>
          <w:szCs w:val="22"/>
        </w:rPr>
      </w:pPr>
      <w:r w:rsidRPr="00A85FEA">
        <w:rPr>
          <w:rFonts w:cs="Arial"/>
          <w:szCs w:val="22"/>
        </w:rPr>
        <w:t>Recaudar en los plazos fijados los intereses y el principal de acuerdo a las condiciones pactadas del título y registrarlos contablemente.</w:t>
      </w:r>
    </w:p>
    <w:p w14:paraId="47A3850F" w14:textId="77777777" w:rsidR="00F53AB1" w:rsidRPr="00A85FEA" w:rsidRDefault="00F53AB1" w:rsidP="0037435B">
      <w:pPr>
        <w:pStyle w:val="Ttulo1"/>
        <w:rPr>
          <w:rFonts w:ascii="Arial" w:hAnsi="Arial" w:cs="Arial"/>
          <w:color w:val="auto"/>
          <w:sz w:val="22"/>
          <w:szCs w:val="22"/>
        </w:rPr>
      </w:pPr>
      <w:bookmarkStart w:id="68" w:name="_Toc525721368"/>
      <w:r w:rsidRPr="00A85FEA">
        <w:rPr>
          <w:rFonts w:ascii="Arial" w:hAnsi="Arial" w:cs="Arial"/>
          <w:color w:val="auto"/>
          <w:sz w:val="22"/>
          <w:szCs w:val="22"/>
        </w:rPr>
        <w:t>2.11. Baja en cuentas</w:t>
      </w:r>
      <w:bookmarkEnd w:id="68"/>
    </w:p>
    <w:p w14:paraId="673468F0" w14:textId="77777777" w:rsidR="00F53AB1" w:rsidRPr="00A85FEA" w:rsidRDefault="00F53AB1" w:rsidP="00D87929">
      <w:pPr>
        <w:rPr>
          <w:rFonts w:cs="Arial"/>
          <w:szCs w:val="22"/>
        </w:rPr>
      </w:pPr>
    </w:p>
    <w:p w14:paraId="60AAACE1" w14:textId="77777777" w:rsidR="00F53AB1" w:rsidRPr="00A85FEA" w:rsidRDefault="00F53AB1" w:rsidP="0037435B">
      <w:pPr>
        <w:jc w:val="both"/>
        <w:rPr>
          <w:rFonts w:cs="Arial"/>
          <w:szCs w:val="22"/>
        </w:rPr>
      </w:pPr>
      <w:r w:rsidRPr="00A85FEA">
        <w:rPr>
          <w:rFonts w:cs="Arial"/>
          <w:szCs w:val="22"/>
        </w:rPr>
        <w:t>Se dejará de reconocer una inversión de administración de liquidez cuando:</w:t>
      </w:r>
    </w:p>
    <w:p w14:paraId="0EB730F2" w14:textId="77777777" w:rsidR="00F53AB1" w:rsidRPr="00A85FEA" w:rsidRDefault="00F53AB1" w:rsidP="0037435B">
      <w:pPr>
        <w:jc w:val="both"/>
        <w:rPr>
          <w:rFonts w:cs="Arial"/>
          <w:szCs w:val="22"/>
        </w:rPr>
      </w:pPr>
    </w:p>
    <w:p w14:paraId="24DD7B66" w14:textId="77777777" w:rsidR="00F53AB1" w:rsidRPr="00A85FEA" w:rsidRDefault="0037435B" w:rsidP="0037435B">
      <w:pPr>
        <w:jc w:val="both"/>
        <w:rPr>
          <w:rFonts w:cs="Arial"/>
          <w:szCs w:val="22"/>
        </w:rPr>
      </w:pPr>
      <w:r w:rsidRPr="00A85FEA">
        <w:rPr>
          <w:rFonts w:cs="Arial"/>
          <w:szCs w:val="22"/>
        </w:rPr>
        <w:t>L</w:t>
      </w:r>
      <w:r w:rsidR="00F53AB1" w:rsidRPr="00A85FEA">
        <w:rPr>
          <w:rFonts w:cs="Arial"/>
          <w:szCs w:val="22"/>
        </w:rPr>
        <w:t xml:space="preserve">os riesgos y las ventajas inherentes a la propiedad de la inversión se transfieran. </w:t>
      </w:r>
    </w:p>
    <w:p w14:paraId="5FD3B678" w14:textId="77777777" w:rsidR="00F53AB1" w:rsidRPr="00A85FEA" w:rsidRDefault="00F53AB1" w:rsidP="0037435B">
      <w:pPr>
        <w:jc w:val="both"/>
        <w:rPr>
          <w:rFonts w:cs="Arial"/>
          <w:szCs w:val="22"/>
        </w:rPr>
      </w:pPr>
    </w:p>
    <w:p w14:paraId="580BFF32" w14:textId="77777777" w:rsidR="00F53AB1" w:rsidRPr="00A85FEA" w:rsidRDefault="00F53AB1" w:rsidP="0037435B">
      <w:pPr>
        <w:jc w:val="both"/>
        <w:rPr>
          <w:rFonts w:cs="Arial"/>
          <w:szCs w:val="22"/>
        </w:rPr>
      </w:pPr>
      <w:r w:rsidRPr="00A85FEA">
        <w:rPr>
          <w:rFonts w:cs="Arial"/>
          <w:szCs w:val="22"/>
        </w:rPr>
        <w:t>Para el efecto, se disminuirá el valor en libros de la inversión y las utilidades o pérdidas acumuladas en el patrimonio, si existieren. La diferencia entre estos valores y el valor recibido se reconocerá como ingreso o gasto en el resultado del periodo. La entidad reconocerá separadamente, como activos o pasivos, cualesquiera derechos u obligaciones creados o retenidos en la transferencia.</w:t>
      </w:r>
    </w:p>
    <w:p w14:paraId="5F4A06B1" w14:textId="77777777" w:rsidR="00BE190F" w:rsidRDefault="00BE190F" w:rsidP="0037435B">
      <w:pPr>
        <w:pStyle w:val="Ttulo1"/>
        <w:rPr>
          <w:rFonts w:ascii="Arial" w:hAnsi="Arial" w:cs="Arial"/>
          <w:color w:val="auto"/>
          <w:sz w:val="22"/>
          <w:szCs w:val="22"/>
        </w:rPr>
      </w:pPr>
    </w:p>
    <w:p w14:paraId="35EF92DC" w14:textId="77777777" w:rsidR="00F53AB1" w:rsidRPr="00A85FEA" w:rsidRDefault="00F53AB1" w:rsidP="0037435B">
      <w:pPr>
        <w:pStyle w:val="Ttulo1"/>
        <w:rPr>
          <w:rFonts w:ascii="Arial" w:hAnsi="Arial" w:cs="Arial"/>
          <w:color w:val="auto"/>
          <w:sz w:val="22"/>
          <w:szCs w:val="22"/>
        </w:rPr>
      </w:pPr>
      <w:bookmarkStart w:id="69" w:name="_Toc525721369"/>
      <w:r w:rsidRPr="00A85FEA">
        <w:rPr>
          <w:rFonts w:ascii="Arial" w:hAnsi="Arial" w:cs="Arial"/>
          <w:color w:val="auto"/>
          <w:sz w:val="22"/>
          <w:szCs w:val="22"/>
        </w:rPr>
        <w:t>2.12. Revelaciones</w:t>
      </w:r>
      <w:bookmarkEnd w:id="69"/>
    </w:p>
    <w:p w14:paraId="42E1E49A" w14:textId="77777777" w:rsidR="00F53AB1" w:rsidRPr="00A85FEA" w:rsidRDefault="00F53AB1" w:rsidP="00D87929">
      <w:pPr>
        <w:rPr>
          <w:rFonts w:cs="Arial"/>
          <w:szCs w:val="22"/>
        </w:rPr>
      </w:pPr>
    </w:p>
    <w:p w14:paraId="6F0BCA40" w14:textId="77777777" w:rsidR="00F53AB1" w:rsidRPr="00A85FEA" w:rsidRDefault="00F53AB1" w:rsidP="00D87929">
      <w:pPr>
        <w:rPr>
          <w:rFonts w:cs="Arial"/>
          <w:szCs w:val="22"/>
        </w:rPr>
      </w:pPr>
      <w:r w:rsidRPr="00A85FEA">
        <w:rPr>
          <w:rFonts w:cs="Arial"/>
          <w:szCs w:val="22"/>
        </w:rPr>
        <w:t xml:space="preserve">La Corporación para el Desarrollo Sostenible del Norte y el Oriente Amazónico – CDA en cabeza de Tesorería, revelará información relativa al valor en libros y a las principales condiciones de la inversión, tales como: </w:t>
      </w:r>
    </w:p>
    <w:p w14:paraId="325ADF14" w14:textId="77777777" w:rsidR="00F53AB1" w:rsidRPr="00A85FEA" w:rsidRDefault="00F53AB1" w:rsidP="00D87929">
      <w:pPr>
        <w:rPr>
          <w:rFonts w:cs="Arial"/>
          <w:szCs w:val="22"/>
        </w:rPr>
      </w:pPr>
    </w:p>
    <w:p w14:paraId="632CD669" w14:textId="77777777" w:rsidR="00F53AB1" w:rsidRPr="00A85FEA" w:rsidRDefault="0037435B" w:rsidP="0037435B">
      <w:pPr>
        <w:jc w:val="both"/>
        <w:rPr>
          <w:rFonts w:cs="Arial"/>
          <w:szCs w:val="22"/>
        </w:rPr>
      </w:pPr>
      <w:r w:rsidRPr="00A85FEA">
        <w:rPr>
          <w:rFonts w:cs="Arial"/>
          <w:szCs w:val="22"/>
        </w:rPr>
        <w:t>Plazo</w:t>
      </w:r>
      <w:r w:rsidR="00F53AB1" w:rsidRPr="00A85FEA">
        <w:rPr>
          <w:rFonts w:cs="Arial"/>
          <w:szCs w:val="22"/>
        </w:rPr>
        <w:t xml:space="preserve">, </w:t>
      </w:r>
    </w:p>
    <w:p w14:paraId="4A2A534F" w14:textId="77777777" w:rsidR="00F53AB1" w:rsidRPr="00A85FEA" w:rsidRDefault="0037435B" w:rsidP="0037435B">
      <w:pPr>
        <w:jc w:val="both"/>
        <w:rPr>
          <w:rFonts w:cs="Arial"/>
          <w:szCs w:val="22"/>
        </w:rPr>
      </w:pPr>
      <w:r w:rsidRPr="00A85FEA">
        <w:rPr>
          <w:rFonts w:cs="Arial"/>
          <w:szCs w:val="22"/>
        </w:rPr>
        <w:t>Tasa</w:t>
      </w:r>
      <w:r w:rsidR="00F53AB1" w:rsidRPr="00A85FEA">
        <w:rPr>
          <w:rFonts w:cs="Arial"/>
          <w:szCs w:val="22"/>
        </w:rPr>
        <w:t xml:space="preserve"> de interés, </w:t>
      </w:r>
    </w:p>
    <w:p w14:paraId="54CADD62" w14:textId="77777777" w:rsidR="00F53AB1" w:rsidRPr="00A85FEA" w:rsidRDefault="0037435B" w:rsidP="0037435B">
      <w:pPr>
        <w:jc w:val="both"/>
        <w:rPr>
          <w:rFonts w:cs="Arial"/>
          <w:szCs w:val="22"/>
        </w:rPr>
      </w:pPr>
      <w:r w:rsidRPr="00A85FEA">
        <w:rPr>
          <w:rFonts w:cs="Arial"/>
          <w:szCs w:val="22"/>
        </w:rPr>
        <w:t>Vencimiento</w:t>
      </w:r>
      <w:r w:rsidR="00F53AB1" w:rsidRPr="00A85FEA">
        <w:rPr>
          <w:rFonts w:cs="Arial"/>
          <w:szCs w:val="22"/>
        </w:rPr>
        <w:t xml:space="preserve"> y </w:t>
      </w:r>
    </w:p>
    <w:p w14:paraId="059BD0B9" w14:textId="77777777" w:rsidR="00F53AB1" w:rsidRPr="00A85FEA" w:rsidRDefault="0037435B" w:rsidP="0037435B">
      <w:pPr>
        <w:jc w:val="both"/>
        <w:rPr>
          <w:rFonts w:cs="Arial"/>
          <w:szCs w:val="22"/>
        </w:rPr>
      </w:pPr>
      <w:r w:rsidRPr="00A85FEA">
        <w:rPr>
          <w:rFonts w:cs="Arial"/>
          <w:szCs w:val="22"/>
        </w:rPr>
        <w:t>Restricciones</w:t>
      </w:r>
      <w:r w:rsidR="00F53AB1" w:rsidRPr="00A85FEA">
        <w:rPr>
          <w:rFonts w:cs="Arial"/>
          <w:szCs w:val="22"/>
        </w:rPr>
        <w:t xml:space="preserve"> en la disposición de la inversión. </w:t>
      </w:r>
    </w:p>
    <w:p w14:paraId="45A2EDB2" w14:textId="77777777" w:rsidR="00F53AB1" w:rsidRPr="00A85FEA" w:rsidRDefault="0037435B" w:rsidP="0037435B">
      <w:pPr>
        <w:jc w:val="both"/>
        <w:rPr>
          <w:rFonts w:cs="Arial"/>
          <w:szCs w:val="22"/>
        </w:rPr>
      </w:pPr>
      <w:r w:rsidRPr="00A85FEA">
        <w:rPr>
          <w:rFonts w:cs="Arial"/>
          <w:szCs w:val="22"/>
        </w:rPr>
        <w:t>Intereses</w:t>
      </w:r>
      <w:r w:rsidR="00F53AB1" w:rsidRPr="00A85FEA">
        <w:rPr>
          <w:rFonts w:cs="Arial"/>
          <w:szCs w:val="22"/>
        </w:rPr>
        <w:t xml:space="preserve"> reconocidos durante el periodo contable mostrando, por separado, los relacionados con inversiones dadas de baja en cuentas durante el periodo contable y los relacionados con inversiones mantenidas al final de este. </w:t>
      </w:r>
    </w:p>
    <w:p w14:paraId="1685B11D" w14:textId="77777777" w:rsidR="00F53AB1" w:rsidRPr="00A85FEA" w:rsidRDefault="0037435B" w:rsidP="0037435B">
      <w:pPr>
        <w:jc w:val="both"/>
        <w:rPr>
          <w:rFonts w:cs="Arial"/>
          <w:szCs w:val="22"/>
        </w:rPr>
      </w:pPr>
      <w:r w:rsidRPr="00A85FEA">
        <w:rPr>
          <w:rFonts w:cs="Arial"/>
          <w:szCs w:val="22"/>
        </w:rPr>
        <w:t>El</w:t>
      </w:r>
      <w:r w:rsidR="00F53AB1" w:rsidRPr="00A85FEA">
        <w:rPr>
          <w:rFonts w:cs="Arial"/>
          <w:szCs w:val="22"/>
        </w:rPr>
        <w:t xml:space="preserve"> precio pagado; </w:t>
      </w:r>
    </w:p>
    <w:p w14:paraId="21E86B25" w14:textId="77777777" w:rsidR="00F53AB1" w:rsidRPr="00A85FEA" w:rsidRDefault="0037435B" w:rsidP="0037435B">
      <w:pPr>
        <w:jc w:val="both"/>
        <w:rPr>
          <w:rFonts w:cs="Arial"/>
          <w:szCs w:val="22"/>
        </w:rPr>
      </w:pPr>
      <w:r w:rsidRPr="00A85FEA">
        <w:rPr>
          <w:rFonts w:cs="Arial"/>
          <w:szCs w:val="22"/>
        </w:rPr>
        <w:t>Los</w:t>
      </w:r>
      <w:r w:rsidR="00F53AB1" w:rsidRPr="00A85FEA">
        <w:rPr>
          <w:rFonts w:cs="Arial"/>
          <w:szCs w:val="22"/>
        </w:rPr>
        <w:t xml:space="preserve"> costos de transacción reconocidos como parte del valor del instrumento; </w:t>
      </w:r>
    </w:p>
    <w:p w14:paraId="6C633A76" w14:textId="77777777" w:rsidR="00F53AB1" w:rsidRPr="00A85FEA" w:rsidRDefault="0037435B" w:rsidP="0037435B">
      <w:pPr>
        <w:jc w:val="both"/>
        <w:rPr>
          <w:rFonts w:cs="Arial"/>
          <w:szCs w:val="22"/>
        </w:rPr>
      </w:pPr>
      <w:r w:rsidRPr="00A85FEA">
        <w:rPr>
          <w:rFonts w:cs="Arial"/>
          <w:szCs w:val="22"/>
        </w:rPr>
        <w:lastRenderedPageBreak/>
        <w:t>La</w:t>
      </w:r>
      <w:r w:rsidR="00F53AB1" w:rsidRPr="00A85FEA">
        <w:rPr>
          <w:rFonts w:cs="Arial"/>
          <w:szCs w:val="22"/>
        </w:rPr>
        <w:t xml:space="preserve"> tasa de interés nominal; y la tasa de interés efectiva, así como los criterios utilizados para determinarla.</w:t>
      </w:r>
    </w:p>
    <w:p w14:paraId="35C6C0C5" w14:textId="77777777" w:rsidR="00F53AB1" w:rsidRPr="00A85FEA" w:rsidRDefault="0037435B" w:rsidP="0037435B">
      <w:pPr>
        <w:jc w:val="both"/>
        <w:rPr>
          <w:rFonts w:cs="Arial"/>
          <w:szCs w:val="22"/>
        </w:rPr>
      </w:pPr>
      <w:r w:rsidRPr="00A85FEA">
        <w:rPr>
          <w:rFonts w:cs="Arial"/>
          <w:szCs w:val="22"/>
        </w:rPr>
        <w:t>El</w:t>
      </w:r>
      <w:r w:rsidR="00F53AB1" w:rsidRPr="00A85FEA">
        <w:rPr>
          <w:rFonts w:cs="Arial"/>
          <w:szCs w:val="22"/>
        </w:rPr>
        <w:t xml:space="preserve"> valor total de los ingresos por intereses calculados utilizando la tasa de interés efectiva. </w:t>
      </w:r>
    </w:p>
    <w:p w14:paraId="24DE21CE" w14:textId="77777777" w:rsidR="00F53AB1" w:rsidRPr="00A85FEA" w:rsidRDefault="0037435B" w:rsidP="0037435B">
      <w:pPr>
        <w:jc w:val="both"/>
        <w:rPr>
          <w:rFonts w:cs="Arial"/>
          <w:szCs w:val="22"/>
        </w:rPr>
      </w:pPr>
      <w:r w:rsidRPr="00A85FEA">
        <w:rPr>
          <w:rFonts w:cs="Arial"/>
          <w:szCs w:val="22"/>
        </w:rPr>
        <w:t>El</w:t>
      </w:r>
      <w:r w:rsidR="00F53AB1" w:rsidRPr="00A85FEA">
        <w:rPr>
          <w:rFonts w:cs="Arial"/>
          <w:szCs w:val="22"/>
        </w:rPr>
        <w:t xml:space="preserve"> valor de las pérdidas por deterioro, o de su reversión, reconocidas durante el periodo contable, así como el deterioro acumulado y los factores que la entidad haya considerado para determinar el deterioro. </w:t>
      </w:r>
    </w:p>
    <w:p w14:paraId="78C3A650" w14:textId="77777777" w:rsidR="00F53AB1" w:rsidRPr="00A85FEA" w:rsidRDefault="00F53AB1" w:rsidP="00D87929">
      <w:pPr>
        <w:rPr>
          <w:rFonts w:cs="Arial"/>
          <w:szCs w:val="22"/>
        </w:rPr>
      </w:pPr>
    </w:p>
    <w:p w14:paraId="04D03A09" w14:textId="77777777" w:rsidR="00F53AB1" w:rsidRPr="00A85FEA" w:rsidRDefault="00F53AB1" w:rsidP="00D87929">
      <w:pPr>
        <w:rPr>
          <w:rFonts w:cs="Arial"/>
          <w:szCs w:val="22"/>
        </w:rPr>
      </w:pPr>
      <w:r w:rsidRPr="00A85FEA">
        <w:rPr>
          <w:rFonts w:cs="Arial"/>
          <w:szCs w:val="22"/>
        </w:rPr>
        <w:t>De igual forma, revelará la posición de riesgos que asuma la entidad por las inversiones de administración de liquidez como, riesgo de tasa de interés y riesgo de liquidez.</w:t>
      </w:r>
    </w:p>
    <w:p w14:paraId="434F1F32" w14:textId="77777777" w:rsidR="00F53AB1" w:rsidRPr="00A85FEA" w:rsidRDefault="00F53AB1" w:rsidP="0037435B">
      <w:pPr>
        <w:pStyle w:val="Ttulo1"/>
        <w:rPr>
          <w:rFonts w:ascii="Arial" w:hAnsi="Arial" w:cs="Arial"/>
          <w:color w:val="auto"/>
          <w:sz w:val="22"/>
          <w:szCs w:val="22"/>
        </w:rPr>
      </w:pPr>
      <w:bookmarkStart w:id="70" w:name="_Toc525721370"/>
      <w:r w:rsidRPr="00A85FEA">
        <w:rPr>
          <w:rFonts w:ascii="Arial" w:hAnsi="Arial" w:cs="Arial"/>
          <w:color w:val="auto"/>
          <w:sz w:val="22"/>
          <w:szCs w:val="22"/>
        </w:rPr>
        <w:t>3. INVENTARIOS</w:t>
      </w:r>
      <w:bookmarkEnd w:id="70"/>
    </w:p>
    <w:p w14:paraId="4D6C9648" w14:textId="77777777" w:rsidR="00F53AB1" w:rsidRPr="00A85FEA" w:rsidRDefault="00F53AB1" w:rsidP="0037435B">
      <w:pPr>
        <w:pStyle w:val="Ttulo1"/>
        <w:rPr>
          <w:rFonts w:ascii="Arial" w:hAnsi="Arial" w:cs="Arial"/>
          <w:color w:val="auto"/>
          <w:sz w:val="22"/>
          <w:szCs w:val="22"/>
        </w:rPr>
      </w:pPr>
      <w:bookmarkStart w:id="71" w:name="_Toc525721371"/>
      <w:r w:rsidRPr="00A85FEA">
        <w:rPr>
          <w:rFonts w:ascii="Arial" w:hAnsi="Arial" w:cs="Arial"/>
          <w:color w:val="auto"/>
          <w:sz w:val="22"/>
          <w:szCs w:val="22"/>
        </w:rPr>
        <w:t>3.1. Objetivo</w:t>
      </w:r>
      <w:bookmarkEnd w:id="71"/>
    </w:p>
    <w:p w14:paraId="59CE2F2E" w14:textId="77777777" w:rsidR="00F53AB1" w:rsidRPr="00A85FEA" w:rsidRDefault="00F53AB1" w:rsidP="00D87929">
      <w:pPr>
        <w:rPr>
          <w:rFonts w:cs="Arial"/>
          <w:szCs w:val="22"/>
        </w:rPr>
      </w:pPr>
    </w:p>
    <w:p w14:paraId="55F4EE8C" w14:textId="77777777" w:rsidR="00F53AB1" w:rsidRPr="00A85FEA" w:rsidRDefault="00F53AB1" w:rsidP="0037435B">
      <w:pPr>
        <w:jc w:val="both"/>
        <w:rPr>
          <w:rFonts w:cs="Arial"/>
          <w:szCs w:val="22"/>
        </w:rPr>
      </w:pPr>
      <w:r w:rsidRPr="00A85FEA">
        <w:rPr>
          <w:rFonts w:cs="Arial"/>
          <w:szCs w:val="22"/>
        </w:rPr>
        <w:t>Determinar los lineamientos para el reconocimiento, la medición y revelación de los hechos económicos que se clasifican como inventarios.</w:t>
      </w:r>
    </w:p>
    <w:p w14:paraId="30704DD9" w14:textId="77777777" w:rsidR="00F53AB1" w:rsidRPr="00A85FEA" w:rsidRDefault="00F53AB1" w:rsidP="0037435B">
      <w:pPr>
        <w:pStyle w:val="Ttulo1"/>
        <w:rPr>
          <w:rFonts w:ascii="Arial" w:hAnsi="Arial" w:cs="Arial"/>
          <w:color w:val="auto"/>
          <w:sz w:val="22"/>
          <w:szCs w:val="22"/>
        </w:rPr>
      </w:pPr>
      <w:bookmarkStart w:id="72" w:name="_Toc525721372"/>
      <w:r w:rsidRPr="00A85FEA">
        <w:rPr>
          <w:rFonts w:ascii="Arial" w:hAnsi="Arial" w:cs="Arial"/>
          <w:color w:val="auto"/>
          <w:sz w:val="22"/>
          <w:szCs w:val="22"/>
        </w:rPr>
        <w:t>3.2. Normatividad relacionada</w:t>
      </w:r>
      <w:bookmarkEnd w:id="72"/>
    </w:p>
    <w:p w14:paraId="5F674144" w14:textId="77777777" w:rsidR="00F53AB1" w:rsidRPr="00A85FEA" w:rsidRDefault="00F53AB1" w:rsidP="00D87929">
      <w:pPr>
        <w:rPr>
          <w:rFonts w:cs="Arial"/>
          <w:szCs w:val="22"/>
        </w:rPr>
      </w:pPr>
    </w:p>
    <w:p w14:paraId="173FB9D4" w14:textId="77777777" w:rsidR="00F53AB1" w:rsidRPr="00A85FEA" w:rsidRDefault="00F53AB1" w:rsidP="00D87929">
      <w:pPr>
        <w:rPr>
          <w:rFonts w:cs="Arial"/>
          <w:szCs w:val="22"/>
        </w:rPr>
      </w:pPr>
      <w:r w:rsidRPr="00A85FEA">
        <w:rPr>
          <w:rFonts w:cs="Arial"/>
          <w:szCs w:val="22"/>
        </w:rPr>
        <w:t>Normas para el Reconocimiento, Medición, Presentación y Revelación de los Hechos Económicos de las Entidades de Gobierno, Capítulo I. Activos, Numeral 9. Inventarios.</w:t>
      </w:r>
    </w:p>
    <w:p w14:paraId="02C8B19E" w14:textId="77777777" w:rsidR="00F53AB1" w:rsidRPr="00A85FEA" w:rsidRDefault="00F53AB1" w:rsidP="0037435B">
      <w:pPr>
        <w:pStyle w:val="Ttulo1"/>
        <w:rPr>
          <w:rFonts w:ascii="Arial" w:hAnsi="Arial" w:cs="Arial"/>
          <w:color w:val="auto"/>
          <w:sz w:val="22"/>
          <w:szCs w:val="22"/>
        </w:rPr>
      </w:pPr>
      <w:bookmarkStart w:id="73" w:name="_Toc525721373"/>
      <w:r w:rsidRPr="00A85FEA">
        <w:rPr>
          <w:rFonts w:ascii="Arial" w:hAnsi="Arial" w:cs="Arial"/>
          <w:color w:val="auto"/>
          <w:sz w:val="22"/>
          <w:szCs w:val="22"/>
        </w:rPr>
        <w:t>3.3. Alcance</w:t>
      </w:r>
      <w:bookmarkEnd w:id="73"/>
    </w:p>
    <w:p w14:paraId="6852A555" w14:textId="77777777" w:rsidR="00F53AB1" w:rsidRPr="00A85FEA" w:rsidRDefault="00F53AB1" w:rsidP="00D87929">
      <w:pPr>
        <w:rPr>
          <w:rFonts w:cs="Arial"/>
          <w:szCs w:val="22"/>
        </w:rPr>
      </w:pPr>
    </w:p>
    <w:p w14:paraId="459D8ACB" w14:textId="77777777" w:rsidR="00F53AB1" w:rsidRPr="00A85FEA" w:rsidRDefault="00F53AB1" w:rsidP="00D87929">
      <w:pPr>
        <w:rPr>
          <w:rFonts w:cs="Arial"/>
          <w:szCs w:val="22"/>
        </w:rPr>
      </w:pPr>
      <w:r w:rsidRPr="00A85FEA">
        <w:rPr>
          <w:rFonts w:cs="Arial"/>
          <w:szCs w:val="22"/>
        </w:rPr>
        <w:t>El alcance de esta política en la Corporación para el Desarrollo Sostenible del Norte y el Oriente Amazónico – CDA aplica para:</w:t>
      </w:r>
    </w:p>
    <w:p w14:paraId="47E26137" w14:textId="77777777" w:rsidR="00F53AB1" w:rsidRPr="00A85FEA" w:rsidRDefault="00F53AB1" w:rsidP="00D87929">
      <w:pPr>
        <w:rPr>
          <w:rFonts w:cs="Arial"/>
          <w:szCs w:val="22"/>
        </w:rPr>
      </w:pPr>
    </w:p>
    <w:p w14:paraId="52B86228" w14:textId="77777777" w:rsidR="00F53AB1" w:rsidRPr="00A85FEA" w:rsidRDefault="0037435B" w:rsidP="00D87929">
      <w:pPr>
        <w:rPr>
          <w:rFonts w:cs="Arial"/>
          <w:szCs w:val="22"/>
        </w:rPr>
      </w:pPr>
      <w:r w:rsidRPr="00A85FEA">
        <w:rPr>
          <w:rFonts w:cs="Arial"/>
          <w:szCs w:val="22"/>
        </w:rPr>
        <w:t>Materiales</w:t>
      </w:r>
      <w:r w:rsidR="00F53AB1" w:rsidRPr="00A85FEA">
        <w:rPr>
          <w:rFonts w:cs="Arial"/>
          <w:szCs w:val="22"/>
        </w:rPr>
        <w:t xml:space="preserve"> y suministros, </w:t>
      </w:r>
    </w:p>
    <w:p w14:paraId="069A76F2" w14:textId="77777777" w:rsidR="00F53AB1" w:rsidRPr="00A85FEA" w:rsidRDefault="0037435B" w:rsidP="00D87929">
      <w:pPr>
        <w:rPr>
          <w:rFonts w:cs="Arial"/>
          <w:szCs w:val="22"/>
        </w:rPr>
      </w:pPr>
      <w:r w:rsidRPr="00A85FEA">
        <w:rPr>
          <w:rFonts w:cs="Arial"/>
          <w:szCs w:val="22"/>
        </w:rPr>
        <w:t>Dotación</w:t>
      </w:r>
      <w:r w:rsidR="00F53AB1" w:rsidRPr="00A85FEA">
        <w:rPr>
          <w:rFonts w:cs="Arial"/>
          <w:szCs w:val="22"/>
        </w:rPr>
        <w:t xml:space="preserve"> a trabajadores, </w:t>
      </w:r>
    </w:p>
    <w:p w14:paraId="6ED1D04B" w14:textId="77777777" w:rsidR="00F53AB1" w:rsidRPr="00A85FEA" w:rsidRDefault="0037435B" w:rsidP="00D87929">
      <w:pPr>
        <w:rPr>
          <w:rFonts w:cs="Arial"/>
          <w:szCs w:val="22"/>
        </w:rPr>
      </w:pPr>
      <w:r w:rsidRPr="00A85FEA">
        <w:rPr>
          <w:rFonts w:cs="Arial"/>
          <w:szCs w:val="22"/>
        </w:rPr>
        <w:t>Productos</w:t>
      </w:r>
      <w:r w:rsidR="00F53AB1" w:rsidRPr="00A85FEA">
        <w:rPr>
          <w:rFonts w:cs="Arial"/>
          <w:szCs w:val="22"/>
        </w:rPr>
        <w:t xml:space="preserve"> de aseo y cafetería,</w:t>
      </w:r>
    </w:p>
    <w:p w14:paraId="0230B7CC" w14:textId="77777777" w:rsidR="00F53AB1" w:rsidRPr="00A85FEA" w:rsidRDefault="0037435B" w:rsidP="00D87929">
      <w:pPr>
        <w:rPr>
          <w:rFonts w:cs="Arial"/>
          <w:szCs w:val="22"/>
        </w:rPr>
      </w:pPr>
      <w:r w:rsidRPr="00A85FEA">
        <w:rPr>
          <w:rFonts w:cs="Arial"/>
          <w:szCs w:val="22"/>
        </w:rPr>
        <w:t>Combustibles</w:t>
      </w:r>
      <w:r w:rsidR="00F53AB1" w:rsidRPr="00A85FEA">
        <w:rPr>
          <w:rFonts w:cs="Arial"/>
          <w:szCs w:val="22"/>
        </w:rPr>
        <w:t xml:space="preserve"> y lubricantes</w:t>
      </w:r>
    </w:p>
    <w:p w14:paraId="2207CBFA" w14:textId="77777777" w:rsidR="00F53AB1" w:rsidRPr="00A85FEA" w:rsidRDefault="00F53AB1" w:rsidP="0037435B">
      <w:pPr>
        <w:pStyle w:val="Ttulo1"/>
        <w:rPr>
          <w:rFonts w:ascii="Arial" w:hAnsi="Arial" w:cs="Arial"/>
          <w:color w:val="auto"/>
          <w:sz w:val="22"/>
          <w:szCs w:val="22"/>
        </w:rPr>
      </w:pPr>
      <w:bookmarkStart w:id="74" w:name="_Toc525721374"/>
      <w:r w:rsidRPr="00A85FEA">
        <w:rPr>
          <w:rFonts w:ascii="Arial" w:hAnsi="Arial" w:cs="Arial"/>
          <w:color w:val="auto"/>
          <w:sz w:val="22"/>
          <w:szCs w:val="22"/>
        </w:rPr>
        <w:t>3.4. Política Contable General</w:t>
      </w:r>
      <w:bookmarkEnd w:id="74"/>
    </w:p>
    <w:p w14:paraId="2028F883" w14:textId="77777777" w:rsidR="00F53AB1" w:rsidRPr="00A85FEA" w:rsidRDefault="00F53AB1" w:rsidP="00D87929">
      <w:pPr>
        <w:rPr>
          <w:rFonts w:cs="Arial"/>
          <w:szCs w:val="22"/>
        </w:rPr>
      </w:pPr>
    </w:p>
    <w:p w14:paraId="5ED27708" w14:textId="77777777" w:rsidR="00F53AB1" w:rsidRPr="00A85FEA" w:rsidRDefault="00F53AB1" w:rsidP="00494FF1">
      <w:pPr>
        <w:jc w:val="both"/>
        <w:rPr>
          <w:rFonts w:cs="Arial"/>
          <w:szCs w:val="22"/>
        </w:rPr>
      </w:pPr>
      <w:r w:rsidRPr="00A85FEA">
        <w:rPr>
          <w:rFonts w:cs="Arial"/>
          <w:szCs w:val="22"/>
        </w:rPr>
        <w:t>Esta política trata los bienes adquiridos por la Corporación para el Desarrollo Sostenible del Norte y el Oriente Amazónico – CDA, representados en materiales, suministros, entre otros, que entran al almacén con posterior salida para ser consumidos en las actividades de la entidad.</w:t>
      </w:r>
    </w:p>
    <w:p w14:paraId="4B2D45A6" w14:textId="77777777" w:rsidR="00F53AB1" w:rsidRPr="00A85FEA" w:rsidRDefault="00F53AB1" w:rsidP="0037435B">
      <w:pPr>
        <w:pStyle w:val="Ttulo1"/>
        <w:rPr>
          <w:rFonts w:ascii="Arial" w:hAnsi="Arial" w:cs="Arial"/>
          <w:color w:val="auto"/>
          <w:sz w:val="22"/>
          <w:szCs w:val="22"/>
          <w:lang w:eastAsia="es-CO"/>
        </w:rPr>
      </w:pPr>
      <w:bookmarkStart w:id="75" w:name="_Toc525721375"/>
      <w:r w:rsidRPr="00A85FEA">
        <w:rPr>
          <w:rFonts w:ascii="Arial" w:hAnsi="Arial" w:cs="Arial"/>
          <w:color w:val="auto"/>
          <w:sz w:val="22"/>
          <w:szCs w:val="22"/>
          <w:lang w:eastAsia="es-CO"/>
        </w:rPr>
        <w:lastRenderedPageBreak/>
        <w:t>3.5. Reconocimiento</w:t>
      </w:r>
      <w:bookmarkEnd w:id="75"/>
    </w:p>
    <w:p w14:paraId="22D5BFAF" w14:textId="77777777" w:rsidR="00F53AB1" w:rsidRPr="00A85FEA" w:rsidRDefault="00F53AB1" w:rsidP="00BE190F">
      <w:pPr>
        <w:jc w:val="both"/>
        <w:rPr>
          <w:rFonts w:cs="Arial"/>
          <w:szCs w:val="22"/>
        </w:rPr>
      </w:pPr>
    </w:p>
    <w:p w14:paraId="7D274FE6" w14:textId="77777777" w:rsidR="00F53AB1" w:rsidRPr="00A85FEA" w:rsidRDefault="00F53AB1" w:rsidP="00BE190F">
      <w:pPr>
        <w:jc w:val="both"/>
        <w:rPr>
          <w:rFonts w:cs="Arial"/>
          <w:szCs w:val="22"/>
        </w:rPr>
      </w:pPr>
      <w:r w:rsidRPr="00A85FEA">
        <w:rPr>
          <w:rFonts w:cs="Arial"/>
          <w:szCs w:val="22"/>
        </w:rPr>
        <w:t>Se reconocerán como inventarios, los activos adquiridos, que se tengan con la intención de consumirse en actividades de la entidad.</w:t>
      </w:r>
    </w:p>
    <w:p w14:paraId="683114A7" w14:textId="77777777" w:rsidR="00F53AB1" w:rsidRPr="00A85FEA" w:rsidRDefault="00F53AB1" w:rsidP="0037435B">
      <w:pPr>
        <w:pStyle w:val="Ttulo1"/>
        <w:rPr>
          <w:rFonts w:ascii="Arial" w:hAnsi="Arial" w:cs="Arial"/>
          <w:color w:val="auto"/>
          <w:sz w:val="22"/>
          <w:szCs w:val="22"/>
        </w:rPr>
      </w:pPr>
      <w:bookmarkStart w:id="76" w:name="_Toc525721376"/>
      <w:r w:rsidRPr="00A85FEA">
        <w:rPr>
          <w:rFonts w:ascii="Arial" w:hAnsi="Arial" w:cs="Arial"/>
          <w:color w:val="auto"/>
          <w:sz w:val="22"/>
          <w:szCs w:val="22"/>
        </w:rPr>
        <w:t>3.6. Medición inicial</w:t>
      </w:r>
      <w:bookmarkEnd w:id="76"/>
    </w:p>
    <w:p w14:paraId="3DF22C4D" w14:textId="77777777" w:rsidR="00F53AB1" w:rsidRPr="00A85FEA" w:rsidRDefault="00F53AB1" w:rsidP="00D87929">
      <w:pPr>
        <w:rPr>
          <w:rFonts w:cs="Arial"/>
          <w:szCs w:val="22"/>
        </w:rPr>
      </w:pPr>
    </w:p>
    <w:p w14:paraId="0E9A5374" w14:textId="77777777" w:rsidR="00F53AB1" w:rsidRPr="00A85FEA" w:rsidRDefault="00F53AB1" w:rsidP="00494FF1">
      <w:pPr>
        <w:jc w:val="both"/>
        <w:rPr>
          <w:rFonts w:cs="Arial"/>
          <w:szCs w:val="22"/>
        </w:rPr>
      </w:pPr>
      <w:r w:rsidRPr="00A85FEA">
        <w:rPr>
          <w:rFonts w:cs="Arial"/>
          <w:szCs w:val="22"/>
        </w:rPr>
        <w:t>Los inventarios se medirán por el costo de adquisición, menos los descuentos o rebajas si los hubiere. El costo de adquisición de los inventarios incluirá el precio de compra, los aranceles y otros impuestos no recuperables, el transporte y otras erogaciones necesarias para colocar los inventarios en condiciones de uso.</w:t>
      </w:r>
    </w:p>
    <w:p w14:paraId="51803593" w14:textId="77777777" w:rsidR="00F53AB1" w:rsidRPr="00A85FEA" w:rsidRDefault="00F53AB1" w:rsidP="00494FF1">
      <w:pPr>
        <w:jc w:val="both"/>
        <w:rPr>
          <w:rFonts w:cs="Arial"/>
          <w:szCs w:val="22"/>
        </w:rPr>
      </w:pPr>
    </w:p>
    <w:p w14:paraId="3E94173A" w14:textId="77777777" w:rsidR="00F53AB1" w:rsidRPr="00A85FEA" w:rsidRDefault="00F53AB1" w:rsidP="00494FF1">
      <w:pPr>
        <w:jc w:val="both"/>
        <w:rPr>
          <w:rFonts w:cs="Arial"/>
          <w:szCs w:val="22"/>
        </w:rPr>
      </w:pPr>
      <w:r w:rsidRPr="00A85FEA">
        <w:rPr>
          <w:rFonts w:cs="Arial"/>
          <w:szCs w:val="22"/>
        </w:rPr>
        <w:t>Cuando se adquiera un inventario en una transacción sin contraprestación, la entidad medirá el activo adquirido de acuerdo con la Norma de ingresos de transacciones sin contraprestación. En todo caso, al valor determinado se le adicionará cualquier desembolso que sea directamente atribuible a la preparación del activo para el uso previsto.</w:t>
      </w:r>
    </w:p>
    <w:p w14:paraId="524BE935" w14:textId="77777777" w:rsidR="00F53AB1" w:rsidRPr="00A85FEA" w:rsidRDefault="00F53AB1" w:rsidP="00494FF1">
      <w:pPr>
        <w:pStyle w:val="Ttulo1"/>
        <w:rPr>
          <w:rFonts w:ascii="Arial" w:hAnsi="Arial" w:cs="Arial"/>
          <w:color w:val="auto"/>
          <w:sz w:val="22"/>
          <w:szCs w:val="22"/>
        </w:rPr>
      </w:pPr>
      <w:bookmarkStart w:id="77" w:name="_Toc525721377"/>
      <w:r w:rsidRPr="00A85FEA">
        <w:rPr>
          <w:rFonts w:ascii="Arial" w:hAnsi="Arial" w:cs="Arial"/>
          <w:color w:val="auto"/>
          <w:sz w:val="22"/>
          <w:szCs w:val="22"/>
        </w:rPr>
        <w:t>3.7. Medición posterior</w:t>
      </w:r>
      <w:bookmarkEnd w:id="77"/>
    </w:p>
    <w:p w14:paraId="453E67A0" w14:textId="77777777" w:rsidR="00F53AB1" w:rsidRPr="00A85FEA" w:rsidRDefault="00F53AB1" w:rsidP="00D87929">
      <w:pPr>
        <w:rPr>
          <w:rFonts w:cs="Arial"/>
          <w:szCs w:val="22"/>
        </w:rPr>
      </w:pPr>
    </w:p>
    <w:p w14:paraId="061A4902" w14:textId="77777777" w:rsidR="00F53AB1" w:rsidRPr="00A85FEA" w:rsidRDefault="00F53AB1" w:rsidP="00494FF1">
      <w:pPr>
        <w:jc w:val="both"/>
        <w:rPr>
          <w:rFonts w:cs="Arial"/>
          <w:szCs w:val="22"/>
        </w:rPr>
      </w:pPr>
      <w:r w:rsidRPr="00A85FEA">
        <w:rPr>
          <w:rFonts w:cs="Arial"/>
          <w:szCs w:val="22"/>
        </w:rPr>
        <w:t>Con posterioridad al reconocimiento inicial los inventarios que se tengan para ser consumidos se medirán al menor valor entre el costo y el costo de reposición.</w:t>
      </w:r>
    </w:p>
    <w:p w14:paraId="396F8A13" w14:textId="77777777" w:rsidR="00F53AB1" w:rsidRPr="00A85FEA" w:rsidRDefault="00F53AB1" w:rsidP="00494FF1">
      <w:pPr>
        <w:jc w:val="both"/>
        <w:rPr>
          <w:rFonts w:cs="Arial"/>
          <w:szCs w:val="22"/>
        </w:rPr>
      </w:pPr>
    </w:p>
    <w:p w14:paraId="0710C529" w14:textId="77777777" w:rsidR="00F53AB1" w:rsidRPr="00A85FEA" w:rsidRDefault="00F53AB1" w:rsidP="00494FF1">
      <w:pPr>
        <w:jc w:val="both"/>
        <w:rPr>
          <w:rFonts w:cs="Arial"/>
          <w:szCs w:val="22"/>
        </w:rPr>
      </w:pPr>
      <w:r w:rsidRPr="00A85FEA">
        <w:rPr>
          <w:rFonts w:cs="Arial"/>
          <w:szCs w:val="22"/>
        </w:rPr>
        <w:t>Los inventarios que se consuman, se reconocerán como gasto en el resultado del periodo, cuando se distribuya el bien.</w:t>
      </w:r>
    </w:p>
    <w:p w14:paraId="29686999" w14:textId="77777777" w:rsidR="00F53AB1" w:rsidRPr="00A85FEA" w:rsidRDefault="00F53AB1" w:rsidP="00494FF1">
      <w:pPr>
        <w:pStyle w:val="Ttulo1"/>
        <w:rPr>
          <w:rFonts w:ascii="Arial" w:hAnsi="Arial" w:cs="Arial"/>
          <w:color w:val="auto"/>
          <w:sz w:val="22"/>
          <w:szCs w:val="22"/>
        </w:rPr>
      </w:pPr>
      <w:bookmarkStart w:id="78" w:name="_Toc525721378"/>
      <w:r w:rsidRPr="00A85FEA">
        <w:rPr>
          <w:rFonts w:ascii="Arial" w:hAnsi="Arial" w:cs="Arial"/>
          <w:color w:val="auto"/>
          <w:sz w:val="22"/>
          <w:szCs w:val="22"/>
        </w:rPr>
        <w:t>3.8. Gestión de riesgo</w:t>
      </w:r>
      <w:bookmarkEnd w:id="78"/>
    </w:p>
    <w:p w14:paraId="25A7D2CC" w14:textId="77777777" w:rsidR="00F53AB1" w:rsidRPr="00A85FEA" w:rsidRDefault="00F53AB1" w:rsidP="00D87929">
      <w:pPr>
        <w:rPr>
          <w:rFonts w:cs="Arial"/>
          <w:szCs w:val="22"/>
        </w:rPr>
      </w:pPr>
    </w:p>
    <w:p w14:paraId="324EA923" w14:textId="77777777" w:rsidR="00F53AB1" w:rsidRPr="00A85FEA" w:rsidRDefault="00F53AB1" w:rsidP="00494FF1">
      <w:pPr>
        <w:jc w:val="both"/>
        <w:rPr>
          <w:rFonts w:cs="Arial"/>
          <w:szCs w:val="22"/>
        </w:rPr>
      </w:pPr>
      <w:r w:rsidRPr="00A85FEA">
        <w:rPr>
          <w:rFonts w:cs="Arial"/>
          <w:szCs w:val="22"/>
        </w:rPr>
        <w:t>Que las salidas de almacén no sean registradas contablemente como gasto</w:t>
      </w:r>
    </w:p>
    <w:p w14:paraId="0EBB7311" w14:textId="77777777" w:rsidR="00F53AB1" w:rsidRPr="00A85FEA" w:rsidRDefault="00F53AB1" w:rsidP="00494FF1">
      <w:pPr>
        <w:jc w:val="both"/>
        <w:rPr>
          <w:rFonts w:cs="Arial"/>
          <w:szCs w:val="22"/>
        </w:rPr>
      </w:pPr>
      <w:r w:rsidRPr="00A85FEA">
        <w:rPr>
          <w:rFonts w:cs="Arial"/>
          <w:szCs w:val="22"/>
        </w:rPr>
        <w:t xml:space="preserve">Mermas de los inventarios de materiales y suministros </w:t>
      </w:r>
    </w:p>
    <w:p w14:paraId="483A145D" w14:textId="77777777" w:rsidR="00F53AB1" w:rsidRPr="00A85FEA" w:rsidRDefault="00F53AB1" w:rsidP="00494FF1">
      <w:pPr>
        <w:pStyle w:val="Ttulo1"/>
        <w:rPr>
          <w:rFonts w:ascii="Arial" w:hAnsi="Arial" w:cs="Arial"/>
          <w:color w:val="auto"/>
          <w:sz w:val="22"/>
          <w:szCs w:val="22"/>
        </w:rPr>
      </w:pPr>
      <w:bookmarkStart w:id="79" w:name="_Toc525721379"/>
      <w:r w:rsidRPr="00A85FEA">
        <w:rPr>
          <w:rFonts w:ascii="Arial" w:hAnsi="Arial" w:cs="Arial"/>
          <w:color w:val="auto"/>
          <w:sz w:val="22"/>
          <w:szCs w:val="22"/>
        </w:rPr>
        <w:t>3.9. Controles contables</w:t>
      </w:r>
      <w:bookmarkEnd w:id="79"/>
    </w:p>
    <w:p w14:paraId="772C0EAC" w14:textId="77777777" w:rsidR="00F53AB1" w:rsidRPr="00A85FEA" w:rsidRDefault="00F53AB1" w:rsidP="00D87929">
      <w:pPr>
        <w:rPr>
          <w:rFonts w:cs="Arial"/>
          <w:szCs w:val="22"/>
        </w:rPr>
      </w:pPr>
    </w:p>
    <w:p w14:paraId="703BC2FC" w14:textId="77777777" w:rsidR="00F53AB1" w:rsidRPr="00A85FEA" w:rsidRDefault="00F53AB1" w:rsidP="00D87929">
      <w:pPr>
        <w:rPr>
          <w:rFonts w:cs="Arial"/>
          <w:szCs w:val="22"/>
        </w:rPr>
      </w:pPr>
      <w:r w:rsidRPr="00A85FEA">
        <w:rPr>
          <w:rFonts w:cs="Arial"/>
          <w:szCs w:val="22"/>
        </w:rPr>
        <w:t>Cumplir con las conciliaciones de almacén y contabilidad</w:t>
      </w:r>
    </w:p>
    <w:p w14:paraId="3FB429F8" w14:textId="77777777" w:rsidR="00F53AB1" w:rsidRPr="00A85FEA" w:rsidRDefault="00F53AB1" w:rsidP="00D87929">
      <w:pPr>
        <w:rPr>
          <w:rFonts w:cs="Arial"/>
          <w:szCs w:val="22"/>
        </w:rPr>
      </w:pPr>
      <w:r w:rsidRPr="00A85FEA">
        <w:rPr>
          <w:rFonts w:cs="Arial"/>
          <w:szCs w:val="22"/>
        </w:rPr>
        <w:t xml:space="preserve">Adquirir los materiales y suministros necesarios </w:t>
      </w:r>
    </w:p>
    <w:p w14:paraId="7DBAE2A3" w14:textId="77777777" w:rsidR="00F53AB1" w:rsidRPr="00A85FEA" w:rsidRDefault="00F53AB1" w:rsidP="00494FF1">
      <w:pPr>
        <w:pStyle w:val="Ttulo1"/>
        <w:rPr>
          <w:rFonts w:ascii="Arial" w:hAnsi="Arial" w:cs="Arial"/>
          <w:color w:val="auto"/>
          <w:sz w:val="22"/>
          <w:szCs w:val="22"/>
        </w:rPr>
      </w:pPr>
      <w:bookmarkStart w:id="80" w:name="_Toc525721380"/>
      <w:r w:rsidRPr="00A85FEA">
        <w:rPr>
          <w:rFonts w:ascii="Arial" w:hAnsi="Arial" w:cs="Arial"/>
          <w:color w:val="auto"/>
          <w:sz w:val="22"/>
          <w:szCs w:val="22"/>
        </w:rPr>
        <w:t>3.10. Baja en cuentas</w:t>
      </w:r>
      <w:bookmarkEnd w:id="80"/>
    </w:p>
    <w:p w14:paraId="0595755D" w14:textId="77777777" w:rsidR="00F53AB1" w:rsidRPr="00A85FEA" w:rsidRDefault="00F53AB1" w:rsidP="00D87929">
      <w:pPr>
        <w:rPr>
          <w:rFonts w:cs="Arial"/>
          <w:szCs w:val="22"/>
        </w:rPr>
      </w:pPr>
    </w:p>
    <w:p w14:paraId="51C424DC" w14:textId="77777777" w:rsidR="00F53AB1" w:rsidRPr="00A85FEA" w:rsidRDefault="00F53AB1" w:rsidP="00D87929">
      <w:pPr>
        <w:rPr>
          <w:rFonts w:cs="Arial"/>
          <w:szCs w:val="22"/>
        </w:rPr>
      </w:pPr>
      <w:r w:rsidRPr="00A85FEA">
        <w:rPr>
          <w:rFonts w:cs="Arial"/>
          <w:szCs w:val="22"/>
        </w:rPr>
        <w:lastRenderedPageBreak/>
        <w:t xml:space="preserve">Las mermas, sustracciones o vencimiento de los inventarios, implicarán el retiro de estos y su reconocimiento como gastos en el resultado del periodo. </w:t>
      </w:r>
    </w:p>
    <w:p w14:paraId="6CC6EEFA" w14:textId="77777777" w:rsidR="00F53AB1" w:rsidRPr="00A85FEA" w:rsidRDefault="00F53AB1" w:rsidP="00494FF1">
      <w:pPr>
        <w:pStyle w:val="Ttulo1"/>
        <w:rPr>
          <w:rFonts w:ascii="Arial" w:hAnsi="Arial" w:cs="Arial"/>
          <w:color w:val="auto"/>
          <w:sz w:val="22"/>
          <w:szCs w:val="22"/>
        </w:rPr>
      </w:pPr>
      <w:bookmarkStart w:id="81" w:name="_Toc525721381"/>
      <w:r w:rsidRPr="00A85FEA">
        <w:rPr>
          <w:rFonts w:ascii="Arial" w:hAnsi="Arial" w:cs="Arial"/>
          <w:color w:val="auto"/>
          <w:sz w:val="22"/>
          <w:szCs w:val="22"/>
        </w:rPr>
        <w:t>3.11. Revelaciones</w:t>
      </w:r>
      <w:bookmarkEnd w:id="81"/>
      <w:r w:rsidRPr="00A85FEA">
        <w:rPr>
          <w:rFonts w:ascii="Arial" w:hAnsi="Arial" w:cs="Arial"/>
          <w:color w:val="auto"/>
          <w:sz w:val="22"/>
          <w:szCs w:val="22"/>
        </w:rPr>
        <w:t xml:space="preserve"> </w:t>
      </w:r>
    </w:p>
    <w:p w14:paraId="26CACB9B" w14:textId="77777777" w:rsidR="00F53AB1" w:rsidRPr="00A85FEA" w:rsidRDefault="00F53AB1" w:rsidP="00D87929">
      <w:pPr>
        <w:rPr>
          <w:rFonts w:cs="Arial"/>
          <w:szCs w:val="22"/>
        </w:rPr>
      </w:pPr>
    </w:p>
    <w:p w14:paraId="4CF1CA9B" w14:textId="77777777" w:rsidR="00F53AB1" w:rsidRDefault="00F53AB1" w:rsidP="00D87929">
      <w:pPr>
        <w:rPr>
          <w:rFonts w:cs="Arial"/>
          <w:szCs w:val="22"/>
        </w:rPr>
      </w:pPr>
      <w:r w:rsidRPr="00A85FEA">
        <w:rPr>
          <w:rFonts w:cs="Arial"/>
          <w:szCs w:val="22"/>
        </w:rPr>
        <w:t>Se revelará la composición de los materiales y suministros clasificados en inventarios</w:t>
      </w:r>
      <w:r w:rsidR="00EA0B00">
        <w:rPr>
          <w:rFonts w:cs="Arial"/>
          <w:szCs w:val="22"/>
        </w:rPr>
        <w:t>.</w:t>
      </w:r>
    </w:p>
    <w:p w14:paraId="72F67938" w14:textId="77777777" w:rsidR="00F53AB1" w:rsidRPr="00A85FEA" w:rsidRDefault="00F53AB1" w:rsidP="00494FF1">
      <w:pPr>
        <w:pStyle w:val="Ttulo1"/>
        <w:rPr>
          <w:rFonts w:ascii="Arial" w:hAnsi="Arial" w:cs="Arial"/>
          <w:color w:val="auto"/>
          <w:sz w:val="22"/>
          <w:szCs w:val="22"/>
        </w:rPr>
      </w:pPr>
      <w:bookmarkStart w:id="82" w:name="_Toc525721382"/>
      <w:r w:rsidRPr="00A85FEA">
        <w:rPr>
          <w:rFonts w:ascii="Arial" w:hAnsi="Arial" w:cs="Arial"/>
          <w:color w:val="auto"/>
          <w:sz w:val="22"/>
          <w:szCs w:val="22"/>
        </w:rPr>
        <w:t>4. POLÍTICA DE CUENTAS POR COBRAR</w:t>
      </w:r>
      <w:bookmarkEnd w:id="82"/>
    </w:p>
    <w:p w14:paraId="74953C2C" w14:textId="77777777" w:rsidR="00F53AB1" w:rsidRPr="00A85FEA" w:rsidRDefault="00F53AB1" w:rsidP="00494FF1">
      <w:pPr>
        <w:pStyle w:val="Ttulo1"/>
        <w:rPr>
          <w:rFonts w:ascii="Arial" w:hAnsi="Arial" w:cs="Arial"/>
          <w:color w:val="auto"/>
          <w:sz w:val="22"/>
          <w:szCs w:val="22"/>
        </w:rPr>
      </w:pPr>
      <w:bookmarkStart w:id="83" w:name="_Toc390087907"/>
      <w:bookmarkStart w:id="84" w:name="_Toc394402644"/>
      <w:bookmarkStart w:id="85" w:name="_Toc525721383"/>
      <w:r w:rsidRPr="00A85FEA">
        <w:rPr>
          <w:rFonts w:ascii="Arial" w:hAnsi="Arial" w:cs="Arial"/>
          <w:color w:val="auto"/>
          <w:sz w:val="22"/>
          <w:szCs w:val="22"/>
        </w:rPr>
        <w:t>4.1. Objetivo</w:t>
      </w:r>
      <w:bookmarkEnd w:id="83"/>
      <w:bookmarkEnd w:id="84"/>
      <w:bookmarkEnd w:id="85"/>
    </w:p>
    <w:p w14:paraId="1C32544E" w14:textId="77777777" w:rsidR="00F53AB1" w:rsidRPr="00A85FEA" w:rsidRDefault="00F53AB1" w:rsidP="00D87929">
      <w:pPr>
        <w:rPr>
          <w:rFonts w:cs="Arial"/>
          <w:szCs w:val="22"/>
        </w:rPr>
      </w:pPr>
    </w:p>
    <w:p w14:paraId="51D8F29A" w14:textId="77777777" w:rsidR="00F53AB1" w:rsidRPr="00A85FEA" w:rsidRDefault="00F53AB1" w:rsidP="00EA0B00">
      <w:pPr>
        <w:jc w:val="both"/>
        <w:rPr>
          <w:rFonts w:cs="Arial"/>
          <w:strike/>
          <w:szCs w:val="22"/>
        </w:rPr>
      </w:pPr>
      <w:r w:rsidRPr="00A85FEA">
        <w:rPr>
          <w:rFonts w:cs="Arial"/>
          <w:szCs w:val="22"/>
        </w:rPr>
        <w:t xml:space="preserve">Establecer las bases necesarias para que la Corporación para el Desarrollo Sostenible del Norte y el Oriente Amazónico – CDA reconozca, mida, presente y revele de manera adecuada y conforme a la normatividad vigente, los hechos económicos que se clasifiquen como cuentas por cobrar. </w:t>
      </w:r>
    </w:p>
    <w:p w14:paraId="0ADFD59D" w14:textId="77777777" w:rsidR="00F53AB1" w:rsidRPr="00A85FEA" w:rsidRDefault="00F53AB1" w:rsidP="00494FF1">
      <w:pPr>
        <w:pStyle w:val="Ttulo1"/>
        <w:rPr>
          <w:rFonts w:ascii="Arial" w:hAnsi="Arial" w:cs="Arial"/>
          <w:color w:val="auto"/>
          <w:sz w:val="22"/>
          <w:szCs w:val="22"/>
        </w:rPr>
      </w:pPr>
      <w:bookmarkStart w:id="86" w:name="_Toc525721384"/>
      <w:r w:rsidRPr="00A85FEA">
        <w:rPr>
          <w:rFonts w:ascii="Arial" w:hAnsi="Arial" w:cs="Arial"/>
          <w:color w:val="auto"/>
          <w:sz w:val="22"/>
          <w:szCs w:val="22"/>
        </w:rPr>
        <w:t>4.2. Normatividad relacionada</w:t>
      </w:r>
      <w:bookmarkEnd w:id="86"/>
    </w:p>
    <w:p w14:paraId="4812AF71" w14:textId="77777777" w:rsidR="00F53AB1" w:rsidRPr="00A85FEA" w:rsidRDefault="00F53AB1" w:rsidP="00D87929">
      <w:pPr>
        <w:rPr>
          <w:rFonts w:cs="Arial"/>
          <w:szCs w:val="22"/>
        </w:rPr>
      </w:pPr>
    </w:p>
    <w:p w14:paraId="0FE15FDD" w14:textId="77777777" w:rsidR="00F53AB1" w:rsidRPr="00A85FEA" w:rsidRDefault="00F53AB1" w:rsidP="00EA0B00">
      <w:pPr>
        <w:jc w:val="both"/>
        <w:rPr>
          <w:rFonts w:cs="Arial"/>
          <w:szCs w:val="22"/>
        </w:rPr>
      </w:pPr>
      <w:r w:rsidRPr="00A85FEA">
        <w:rPr>
          <w:rFonts w:cs="Arial"/>
          <w:szCs w:val="22"/>
        </w:rPr>
        <w:t>Normas para el Reconocimiento, Medición, Presentación y Revelación de los Hechos Económicos de las Entidades de Gobierno, Capítulo I. Activos, Numeral 2. Cuentas por cobrar.</w:t>
      </w:r>
      <w:bookmarkStart w:id="87" w:name="_Toc390087908"/>
      <w:bookmarkStart w:id="88" w:name="_Toc394402645"/>
    </w:p>
    <w:p w14:paraId="542764A5" w14:textId="77777777" w:rsidR="00F53AB1" w:rsidRPr="00A85FEA" w:rsidRDefault="00F53AB1" w:rsidP="00494FF1">
      <w:pPr>
        <w:pStyle w:val="Ttulo1"/>
        <w:rPr>
          <w:rFonts w:ascii="Arial" w:hAnsi="Arial" w:cs="Arial"/>
          <w:color w:val="auto"/>
          <w:sz w:val="22"/>
          <w:szCs w:val="22"/>
        </w:rPr>
      </w:pPr>
      <w:bookmarkStart w:id="89" w:name="_Toc525721385"/>
      <w:r w:rsidRPr="00A85FEA">
        <w:rPr>
          <w:rFonts w:ascii="Arial" w:hAnsi="Arial" w:cs="Arial"/>
          <w:color w:val="auto"/>
          <w:sz w:val="22"/>
          <w:szCs w:val="22"/>
        </w:rPr>
        <w:t>4.3. Alcance</w:t>
      </w:r>
      <w:bookmarkEnd w:id="87"/>
      <w:bookmarkEnd w:id="88"/>
      <w:bookmarkEnd w:id="89"/>
    </w:p>
    <w:p w14:paraId="064CF319" w14:textId="77777777" w:rsidR="00F53AB1" w:rsidRPr="00A85FEA" w:rsidRDefault="00F53AB1" w:rsidP="00D87929">
      <w:pPr>
        <w:rPr>
          <w:rFonts w:cs="Arial"/>
          <w:szCs w:val="22"/>
        </w:rPr>
      </w:pPr>
    </w:p>
    <w:p w14:paraId="5116C1CD" w14:textId="77777777" w:rsidR="00F53AB1" w:rsidRPr="00A85FEA" w:rsidRDefault="00F53AB1" w:rsidP="00D87929">
      <w:pPr>
        <w:rPr>
          <w:rFonts w:cs="Arial"/>
          <w:szCs w:val="22"/>
        </w:rPr>
      </w:pPr>
      <w:r w:rsidRPr="00A85FEA">
        <w:rPr>
          <w:rFonts w:cs="Arial"/>
          <w:szCs w:val="22"/>
        </w:rPr>
        <w:t xml:space="preserve">Cuentas por cobrar por ingresos no tributarios: </w:t>
      </w:r>
    </w:p>
    <w:p w14:paraId="7115A664" w14:textId="77777777" w:rsidR="00F53AB1" w:rsidRPr="00A85FEA" w:rsidRDefault="00F53AB1" w:rsidP="00D87929">
      <w:pPr>
        <w:rPr>
          <w:rFonts w:cs="Arial"/>
          <w:szCs w:val="22"/>
        </w:rPr>
      </w:pPr>
      <w:r w:rsidRPr="00A85FEA">
        <w:rPr>
          <w:rFonts w:cs="Arial"/>
          <w:szCs w:val="22"/>
        </w:rPr>
        <w:t>Tasas</w:t>
      </w:r>
    </w:p>
    <w:p w14:paraId="669D511F" w14:textId="77777777" w:rsidR="00F53AB1" w:rsidRPr="00A85FEA" w:rsidRDefault="00F53AB1" w:rsidP="00D87929">
      <w:pPr>
        <w:rPr>
          <w:rFonts w:cs="Arial"/>
          <w:szCs w:val="22"/>
        </w:rPr>
      </w:pPr>
      <w:r w:rsidRPr="00A85FEA">
        <w:rPr>
          <w:rFonts w:cs="Arial"/>
          <w:szCs w:val="22"/>
        </w:rPr>
        <w:t>Multas</w:t>
      </w:r>
    </w:p>
    <w:p w14:paraId="3C3E09C6" w14:textId="77777777" w:rsidR="00F53AB1" w:rsidRPr="00A85FEA" w:rsidRDefault="00F53AB1" w:rsidP="00D87929">
      <w:pPr>
        <w:rPr>
          <w:rFonts w:cs="Arial"/>
          <w:szCs w:val="22"/>
        </w:rPr>
      </w:pPr>
      <w:r w:rsidRPr="00A85FEA">
        <w:rPr>
          <w:rFonts w:cs="Arial"/>
          <w:szCs w:val="22"/>
        </w:rPr>
        <w:t>Sanciones</w:t>
      </w:r>
    </w:p>
    <w:p w14:paraId="3309BFE8" w14:textId="77777777" w:rsidR="00F53AB1" w:rsidRPr="00A85FEA" w:rsidRDefault="00F53AB1" w:rsidP="00D87929">
      <w:pPr>
        <w:rPr>
          <w:rFonts w:cs="Arial"/>
          <w:szCs w:val="22"/>
        </w:rPr>
      </w:pPr>
      <w:r w:rsidRPr="00A85FEA">
        <w:rPr>
          <w:rFonts w:cs="Arial"/>
          <w:szCs w:val="22"/>
        </w:rPr>
        <w:t>Intereses</w:t>
      </w:r>
    </w:p>
    <w:p w14:paraId="1813EBFE" w14:textId="77777777" w:rsidR="00F53AB1" w:rsidRPr="00A85FEA" w:rsidRDefault="00F53AB1" w:rsidP="00D87929">
      <w:pPr>
        <w:rPr>
          <w:rFonts w:cs="Arial"/>
          <w:szCs w:val="22"/>
        </w:rPr>
      </w:pPr>
      <w:r w:rsidRPr="00A85FEA">
        <w:rPr>
          <w:rFonts w:cs="Arial"/>
          <w:szCs w:val="22"/>
        </w:rPr>
        <w:t>Publicaciones</w:t>
      </w:r>
    </w:p>
    <w:p w14:paraId="4F513867" w14:textId="77777777" w:rsidR="00F53AB1" w:rsidRPr="00A85FEA" w:rsidRDefault="00F53AB1" w:rsidP="00D87929">
      <w:pPr>
        <w:rPr>
          <w:rFonts w:cs="Arial"/>
          <w:szCs w:val="22"/>
        </w:rPr>
      </w:pPr>
      <w:r w:rsidRPr="00A85FEA">
        <w:rPr>
          <w:rFonts w:cs="Arial"/>
          <w:szCs w:val="22"/>
        </w:rPr>
        <w:t>Registro y salvo conducto</w:t>
      </w:r>
    </w:p>
    <w:p w14:paraId="79EDAC0B" w14:textId="77777777" w:rsidR="00F53AB1" w:rsidRPr="00A85FEA" w:rsidRDefault="00F53AB1" w:rsidP="00D87929">
      <w:pPr>
        <w:rPr>
          <w:rFonts w:cs="Arial"/>
          <w:szCs w:val="22"/>
        </w:rPr>
      </w:pPr>
      <w:r w:rsidRPr="00A85FEA">
        <w:rPr>
          <w:rFonts w:cs="Arial"/>
          <w:szCs w:val="22"/>
        </w:rPr>
        <w:t>Porcentaje y sobretasa ambiental al impuesto predial</w:t>
      </w:r>
    </w:p>
    <w:p w14:paraId="2DEE2007" w14:textId="77777777" w:rsidR="00F53AB1" w:rsidRPr="00A85FEA" w:rsidRDefault="00F53AB1" w:rsidP="00D87929">
      <w:pPr>
        <w:rPr>
          <w:rFonts w:cs="Arial"/>
          <w:szCs w:val="22"/>
        </w:rPr>
      </w:pPr>
      <w:r w:rsidRPr="00A85FEA">
        <w:rPr>
          <w:rFonts w:cs="Arial"/>
          <w:szCs w:val="22"/>
        </w:rPr>
        <w:t>Transferencias por cobrar y</w:t>
      </w:r>
    </w:p>
    <w:p w14:paraId="234F741A" w14:textId="77777777" w:rsidR="00F53AB1" w:rsidRPr="00A85FEA" w:rsidRDefault="00F53AB1" w:rsidP="00D87929">
      <w:pPr>
        <w:rPr>
          <w:rFonts w:cs="Arial"/>
          <w:szCs w:val="22"/>
        </w:rPr>
      </w:pPr>
      <w:r w:rsidRPr="00A85FEA">
        <w:rPr>
          <w:rFonts w:cs="Arial"/>
          <w:szCs w:val="22"/>
        </w:rPr>
        <w:t>Otras cuentas por cobrar</w:t>
      </w:r>
    </w:p>
    <w:p w14:paraId="3A25CED4" w14:textId="77777777" w:rsidR="00F53AB1" w:rsidRPr="00A85FEA" w:rsidRDefault="00F53AB1" w:rsidP="00494FF1">
      <w:pPr>
        <w:pStyle w:val="Ttulo1"/>
        <w:rPr>
          <w:rFonts w:ascii="Arial" w:hAnsi="Arial" w:cs="Arial"/>
          <w:color w:val="auto"/>
          <w:sz w:val="22"/>
          <w:szCs w:val="22"/>
        </w:rPr>
      </w:pPr>
      <w:bookmarkStart w:id="90" w:name="_Toc525721386"/>
      <w:r w:rsidRPr="00A85FEA">
        <w:rPr>
          <w:rFonts w:ascii="Arial" w:hAnsi="Arial" w:cs="Arial"/>
          <w:color w:val="auto"/>
          <w:sz w:val="22"/>
          <w:szCs w:val="22"/>
        </w:rPr>
        <w:t>4.4. Política Contable General</w:t>
      </w:r>
      <w:bookmarkEnd w:id="90"/>
    </w:p>
    <w:p w14:paraId="577C7C7F" w14:textId="77777777" w:rsidR="00F53AB1" w:rsidRPr="00A85FEA" w:rsidRDefault="00F53AB1" w:rsidP="00D87929">
      <w:pPr>
        <w:rPr>
          <w:rFonts w:cs="Arial"/>
          <w:szCs w:val="22"/>
        </w:rPr>
      </w:pPr>
    </w:p>
    <w:p w14:paraId="5DC0FA0A" w14:textId="77777777" w:rsidR="00F53AB1" w:rsidRPr="00A85FEA" w:rsidRDefault="00F53AB1" w:rsidP="00494FF1">
      <w:pPr>
        <w:jc w:val="both"/>
        <w:rPr>
          <w:rFonts w:cs="Arial"/>
          <w:szCs w:val="22"/>
        </w:rPr>
      </w:pPr>
      <w:r w:rsidRPr="00A85FEA">
        <w:rPr>
          <w:rFonts w:cs="Arial"/>
          <w:szCs w:val="22"/>
        </w:rPr>
        <w:lastRenderedPageBreak/>
        <w:t>Esta política aplica para las cuentas por cobrar por los ingresos no tributarios, por los intereses moratorios que se causen en las multas y tasas y otros intereses, a las cuentas por cobrar por concepto de convenios y contratos y otras cuentas por cobrar.</w:t>
      </w:r>
    </w:p>
    <w:p w14:paraId="4F452CAC" w14:textId="77777777" w:rsidR="00F53AB1" w:rsidRPr="00A85FEA" w:rsidRDefault="00F53AB1" w:rsidP="00494FF1">
      <w:pPr>
        <w:pStyle w:val="Ttulo1"/>
        <w:rPr>
          <w:rFonts w:ascii="Arial" w:hAnsi="Arial" w:cs="Arial"/>
          <w:color w:val="auto"/>
          <w:sz w:val="22"/>
          <w:szCs w:val="22"/>
          <w:lang w:eastAsia="es-CO"/>
        </w:rPr>
      </w:pPr>
      <w:bookmarkStart w:id="91" w:name="_Toc525721387"/>
      <w:r w:rsidRPr="00A85FEA">
        <w:rPr>
          <w:rFonts w:ascii="Arial" w:hAnsi="Arial" w:cs="Arial"/>
          <w:color w:val="auto"/>
          <w:sz w:val="22"/>
          <w:szCs w:val="22"/>
          <w:lang w:eastAsia="es-CO"/>
        </w:rPr>
        <w:t>4.5. Reconocimiento</w:t>
      </w:r>
      <w:bookmarkEnd w:id="91"/>
    </w:p>
    <w:p w14:paraId="2BCF9090" w14:textId="77777777" w:rsidR="00F53AB1" w:rsidRPr="00A85FEA" w:rsidRDefault="00F53AB1" w:rsidP="00D87929">
      <w:pPr>
        <w:rPr>
          <w:rFonts w:eastAsia="Calibri" w:cs="Arial"/>
          <w:szCs w:val="22"/>
        </w:rPr>
      </w:pPr>
    </w:p>
    <w:p w14:paraId="54E9A221" w14:textId="77777777" w:rsidR="00F53AB1" w:rsidRPr="00A85FEA" w:rsidRDefault="00F53AB1" w:rsidP="00494FF1">
      <w:pPr>
        <w:jc w:val="both"/>
        <w:rPr>
          <w:rFonts w:cs="Arial"/>
          <w:szCs w:val="22"/>
        </w:rPr>
      </w:pPr>
      <w:r w:rsidRPr="00A85FEA">
        <w:rPr>
          <w:rFonts w:cs="Arial"/>
          <w:szCs w:val="22"/>
        </w:rPr>
        <w:t xml:space="preserve">Se reconocerán como cuentas por cobrar, los derechos adquiridos por la Corporación para el Desarrollo Sostenible del Norte y el Oriente Amazónico – CDA en desarrollo de sus actividades, de las cuales se espere, a futuro, la entrada de un flujo financiero fijo o determinable, a través de efectivo, equivalentes al efectivo u otro instrumento. Estas partidas incluyen los derechos originados en transacciones con y sin contraprestación. </w:t>
      </w:r>
    </w:p>
    <w:p w14:paraId="21FDA036" w14:textId="77777777" w:rsidR="00F53AB1" w:rsidRPr="00A85FEA" w:rsidRDefault="00F53AB1" w:rsidP="00494FF1">
      <w:pPr>
        <w:jc w:val="both"/>
        <w:rPr>
          <w:rFonts w:cs="Arial"/>
          <w:szCs w:val="22"/>
        </w:rPr>
      </w:pPr>
    </w:p>
    <w:p w14:paraId="19F7F164" w14:textId="77777777" w:rsidR="00F53AB1" w:rsidRPr="00A85FEA" w:rsidRDefault="00F53AB1" w:rsidP="00494FF1">
      <w:pPr>
        <w:jc w:val="both"/>
        <w:rPr>
          <w:rFonts w:cs="Arial"/>
          <w:szCs w:val="22"/>
        </w:rPr>
      </w:pPr>
      <w:r w:rsidRPr="00A85FEA">
        <w:rPr>
          <w:rFonts w:cs="Arial"/>
          <w:szCs w:val="22"/>
        </w:rPr>
        <w:t>Las cuentas por cobrar de la Corporación para el Desarrollo Sostenible del Norte y el Oriente Amazónico – CDA, se originan en transacciones sin contraprestación y son las siguientes:</w:t>
      </w:r>
    </w:p>
    <w:p w14:paraId="57F43E87" w14:textId="77777777" w:rsidR="00F53AB1" w:rsidRPr="00A85FEA" w:rsidRDefault="00F53AB1" w:rsidP="00D87929">
      <w:pPr>
        <w:rPr>
          <w:rFonts w:cs="Arial"/>
          <w:szCs w:val="22"/>
        </w:rPr>
      </w:pPr>
    </w:p>
    <w:p w14:paraId="500F9988" w14:textId="77777777" w:rsidR="00F53AB1" w:rsidRPr="00A85FEA" w:rsidRDefault="00F53AB1" w:rsidP="00D87929">
      <w:pPr>
        <w:rPr>
          <w:rFonts w:cs="Arial"/>
          <w:szCs w:val="22"/>
        </w:rPr>
      </w:pPr>
      <w:r w:rsidRPr="00A85FEA">
        <w:rPr>
          <w:rFonts w:cs="Arial"/>
          <w:szCs w:val="22"/>
        </w:rPr>
        <w:t>Transferencias</w:t>
      </w:r>
    </w:p>
    <w:p w14:paraId="0181E41B" w14:textId="77777777" w:rsidR="00F53AB1" w:rsidRPr="00A85FEA" w:rsidRDefault="00F53AB1" w:rsidP="00D87929">
      <w:pPr>
        <w:rPr>
          <w:rFonts w:cs="Arial"/>
          <w:szCs w:val="22"/>
        </w:rPr>
      </w:pPr>
      <w:r w:rsidRPr="00A85FEA">
        <w:rPr>
          <w:rFonts w:cs="Arial"/>
          <w:szCs w:val="22"/>
        </w:rPr>
        <w:t>Evaluación y seguimiento</w:t>
      </w:r>
    </w:p>
    <w:p w14:paraId="6F189049" w14:textId="77777777" w:rsidR="00F53AB1" w:rsidRPr="00A85FEA" w:rsidRDefault="00F53AB1" w:rsidP="00D87929">
      <w:pPr>
        <w:rPr>
          <w:rFonts w:cs="Arial"/>
          <w:szCs w:val="22"/>
        </w:rPr>
      </w:pPr>
      <w:r w:rsidRPr="00A85FEA">
        <w:rPr>
          <w:rFonts w:cs="Arial"/>
          <w:szCs w:val="22"/>
        </w:rPr>
        <w:t>Tasas</w:t>
      </w:r>
    </w:p>
    <w:p w14:paraId="1C642E5E" w14:textId="77777777" w:rsidR="00F53AB1" w:rsidRPr="00A85FEA" w:rsidRDefault="00F53AB1" w:rsidP="00D87929">
      <w:pPr>
        <w:rPr>
          <w:rFonts w:cs="Arial"/>
          <w:szCs w:val="22"/>
        </w:rPr>
      </w:pPr>
      <w:r w:rsidRPr="00A85FEA">
        <w:rPr>
          <w:rFonts w:cs="Arial"/>
          <w:szCs w:val="22"/>
        </w:rPr>
        <w:t>Multas</w:t>
      </w:r>
    </w:p>
    <w:p w14:paraId="4A53961A" w14:textId="77777777" w:rsidR="00F53AB1" w:rsidRPr="00A85FEA" w:rsidRDefault="00F53AB1" w:rsidP="00D87929">
      <w:pPr>
        <w:rPr>
          <w:rFonts w:cs="Arial"/>
          <w:szCs w:val="22"/>
        </w:rPr>
      </w:pPr>
      <w:r w:rsidRPr="00A85FEA">
        <w:rPr>
          <w:rFonts w:cs="Arial"/>
          <w:szCs w:val="22"/>
        </w:rPr>
        <w:t>Sanciones</w:t>
      </w:r>
    </w:p>
    <w:p w14:paraId="03B24801" w14:textId="77777777" w:rsidR="00F53AB1" w:rsidRPr="00A85FEA" w:rsidRDefault="00F53AB1" w:rsidP="00D87929">
      <w:pPr>
        <w:rPr>
          <w:rFonts w:cs="Arial"/>
          <w:szCs w:val="22"/>
        </w:rPr>
      </w:pPr>
      <w:r w:rsidRPr="00A85FEA">
        <w:rPr>
          <w:rFonts w:cs="Arial"/>
          <w:szCs w:val="22"/>
        </w:rPr>
        <w:t>Porcentaje y sobretasa ambiental al impuesto predial</w:t>
      </w:r>
      <w:r w:rsidRPr="00A85FEA">
        <w:rPr>
          <w:rFonts w:cs="Arial"/>
          <w:szCs w:val="22"/>
          <w:lang w:eastAsia="es-CO"/>
        </w:rPr>
        <w:t xml:space="preserve"> </w:t>
      </w:r>
    </w:p>
    <w:p w14:paraId="6980F8B2" w14:textId="77777777" w:rsidR="00F53AB1" w:rsidRPr="00A85FEA" w:rsidRDefault="00F53AB1" w:rsidP="00494FF1">
      <w:pPr>
        <w:pStyle w:val="Ttulo1"/>
        <w:rPr>
          <w:rFonts w:ascii="Arial" w:hAnsi="Arial" w:cs="Arial"/>
          <w:color w:val="auto"/>
          <w:sz w:val="22"/>
          <w:szCs w:val="22"/>
          <w:lang w:eastAsia="es-CO"/>
        </w:rPr>
      </w:pPr>
      <w:bookmarkStart w:id="92" w:name="_Toc525721388"/>
      <w:r w:rsidRPr="00A85FEA">
        <w:rPr>
          <w:rFonts w:ascii="Arial" w:hAnsi="Arial" w:cs="Arial"/>
          <w:color w:val="auto"/>
          <w:sz w:val="22"/>
          <w:szCs w:val="22"/>
          <w:lang w:eastAsia="es-CO"/>
        </w:rPr>
        <w:t>4.6. Clasificación</w:t>
      </w:r>
      <w:bookmarkEnd w:id="92"/>
    </w:p>
    <w:p w14:paraId="13D1B68F" w14:textId="77777777" w:rsidR="00F53AB1" w:rsidRPr="00A85FEA" w:rsidRDefault="00F53AB1" w:rsidP="00D87929">
      <w:pPr>
        <w:rPr>
          <w:rFonts w:cs="Arial"/>
          <w:szCs w:val="22"/>
          <w:lang w:eastAsia="es-CO"/>
        </w:rPr>
      </w:pPr>
    </w:p>
    <w:p w14:paraId="6F554305" w14:textId="77777777" w:rsidR="00F53AB1" w:rsidRPr="00A85FEA" w:rsidRDefault="00F53AB1" w:rsidP="00D87929">
      <w:pPr>
        <w:rPr>
          <w:rFonts w:cs="Arial"/>
          <w:szCs w:val="22"/>
          <w:lang w:eastAsia="es-CO"/>
        </w:rPr>
      </w:pPr>
      <w:r w:rsidRPr="00A85FEA">
        <w:rPr>
          <w:rFonts w:cs="Arial"/>
          <w:szCs w:val="22"/>
        </w:rPr>
        <w:t xml:space="preserve">Las cuentas por cobrar de la Corporación para el Desarrollo Sostenible del Norte y el Oriente Amazónico – CDA se clasificarán en la categoría de costo. </w:t>
      </w:r>
    </w:p>
    <w:p w14:paraId="34F90410" w14:textId="77777777" w:rsidR="00F53AB1" w:rsidRPr="00A85FEA" w:rsidRDefault="00F53AB1" w:rsidP="00494FF1">
      <w:pPr>
        <w:pStyle w:val="Ttulo1"/>
        <w:rPr>
          <w:rFonts w:ascii="Arial" w:hAnsi="Arial" w:cs="Arial"/>
          <w:color w:val="auto"/>
          <w:sz w:val="22"/>
          <w:szCs w:val="22"/>
          <w:lang w:eastAsia="es-CO"/>
        </w:rPr>
      </w:pPr>
      <w:bookmarkStart w:id="93" w:name="_Toc525721389"/>
      <w:r w:rsidRPr="00A85FEA">
        <w:rPr>
          <w:rFonts w:ascii="Arial" w:hAnsi="Arial" w:cs="Arial"/>
          <w:color w:val="auto"/>
          <w:sz w:val="22"/>
          <w:szCs w:val="22"/>
          <w:lang w:eastAsia="es-CO"/>
        </w:rPr>
        <w:t>4.7. Medición inicial</w:t>
      </w:r>
      <w:bookmarkEnd w:id="93"/>
    </w:p>
    <w:p w14:paraId="501DAD5B" w14:textId="77777777" w:rsidR="00F53AB1" w:rsidRPr="00A85FEA" w:rsidRDefault="00F53AB1" w:rsidP="00D87929">
      <w:pPr>
        <w:rPr>
          <w:rFonts w:cs="Arial"/>
          <w:szCs w:val="22"/>
          <w:lang w:eastAsia="es-CO"/>
        </w:rPr>
      </w:pPr>
    </w:p>
    <w:p w14:paraId="1D906A35" w14:textId="77777777" w:rsidR="00F53AB1" w:rsidRPr="00A85FEA" w:rsidRDefault="00F53AB1" w:rsidP="00D87929">
      <w:pPr>
        <w:rPr>
          <w:rFonts w:cs="Arial"/>
          <w:szCs w:val="22"/>
          <w:lang w:eastAsia="es-CO"/>
        </w:rPr>
      </w:pPr>
      <w:r w:rsidRPr="00A85FEA">
        <w:rPr>
          <w:rFonts w:cs="Arial"/>
          <w:szCs w:val="22"/>
        </w:rPr>
        <w:t>Las cuentas por cobrar clasificadas al costo se medirán por el valor de la transacción.</w:t>
      </w:r>
    </w:p>
    <w:p w14:paraId="4847272E" w14:textId="77777777" w:rsidR="00F53AB1" w:rsidRPr="00A85FEA" w:rsidRDefault="00F53AB1" w:rsidP="00494FF1">
      <w:pPr>
        <w:pStyle w:val="Ttulo1"/>
        <w:rPr>
          <w:rFonts w:ascii="Arial" w:hAnsi="Arial" w:cs="Arial"/>
          <w:color w:val="auto"/>
          <w:sz w:val="22"/>
          <w:szCs w:val="22"/>
          <w:lang w:eastAsia="es-CO"/>
        </w:rPr>
      </w:pPr>
      <w:bookmarkStart w:id="94" w:name="_Toc525721390"/>
      <w:r w:rsidRPr="00A85FEA">
        <w:rPr>
          <w:rFonts w:ascii="Arial" w:hAnsi="Arial" w:cs="Arial"/>
          <w:color w:val="auto"/>
          <w:sz w:val="22"/>
          <w:szCs w:val="22"/>
          <w:lang w:eastAsia="es-CO"/>
        </w:rPr>
        <w:t>4.8. Medición posterior</w:t>
      </w:r>
      <w:bookmarkEnd w:id="94"/>
    </w:p>
    <w:p w14:paraId="6CB6E4D4" w14:textId="77777777" w:rsidR="00F53AB1" w:rsidRPr="00A85FEA" w:rsidRDefault="00F53AB1" w:rsidP="00D87929">
      <w:pPr>
        <w:rPr>
          <w:rFonts w:cs="Arial"/>
          <w:szCs w:val="22"/>
          <w:lang w:eastAsia="es-CO"/>
        </w:rPr>
      </w:pPr>
    </w:p>
    <w:p w14:paraId="3F75800B" w14:textId="77777777" w:rsidR="00F53AB1" w:rsidRPr="00A85FEA" w:rsidRDefault="00F53AB1" w:rsidP="00EA0B00">
      <w:pPr>
        <w:jc w:val="both"/>
        <w:rPr>
          <w:rFonts w:cs="Arial"/>
          <w:szCs w:val="22"/>
        </w:rPr>
      </w:pPr>
      <w:r w:rsidRPr="00A85FEA">
        <w:rPr>
          <w:rFonts w:cs="Arial"/>
          <w:szCs w:val="22"/>
        </w:rPr>
        <w:t>Con posterioridad al reconocimiento, las cuentas por cobrar clasificadas al costo se mantendrán por el valor de la transacción.</w:t>
      </w:r>
    </w:p>
    <w:p w14:paraId="19BDF68C" w14:textId="77777777" w:rsidR="00F53AB1" w:rsidRPr="00A85FEA" w:rsidRDefault="00F53AB1" w:rsidP="00D87929">
      <w:pPr>
        <w:rPr>
          <w:rFonts w:cs="Arial"/>
          <w:szCs w:val="22"/>
        </w:rPr>
      </w:pPr>
    </w:p>
    <w:p w14:paraId="27A81674" w14:textId="77777777" w:rsidR="00F53AB1" w:rsidRPr="00A85FEA" w:rsidRDefault="00F53AB1" w:rsidP="00D87929">
      <w:pPr>
        <w:rPr>
          <w:rFonts w:cs="Arial"/>
          <w:szCs w:val="22"/>
        </w:rPr>
      </w:pPr>
      <w:r w:rsidRPr="00A85FEA">
        <w:rPr>
          <w:rFonts w:cs="Arial"/>
          <w:szCs w:val="22"/>
        </w:rPr>
        <w:t>4.8.1 Termino de recaudo normal</w:t>
      </w:r>
    </w:p>
    <w:p w14:paraId="76721F74" w14:textId="77777777" w:rsidR="00F53AB1" w:rsidRPr="00A85FEA" w:rsidRDefault="00F53AB1" w:rsidP="00D87929">
      <w:pPr>
        <w:rPr>
          <w:rFonts w:cs="Arial"/>
          <w:szCs w:val="22"/>
        </w:rPr>
      </w:pPr>
    </w:p>
    <w:p w14:paraId="132D91A4" w14:textId="77777777" w:rsidR="00F53AB1" w:rsidRPr="00A85FEA" w:rsidRDefault="00F53AB1" w:rsidP="00D87929">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977"/>
      </w:tblGrid>
      <w:tr w:rsidR="00F53AB1" w:rsidRPr="00A85FEA" w14:paraId="635FD0FD" w14:textId="77777777" w:rsidTr="003A339B">
        <w:trPr>
          <w:trHeight w:val="568"/>
          <w:jc w:val="center"/>
        </w:trPr>
        <w:tc>
          <w:tcPr>
            <w:tcW w:w="5949" w:type="dxa"/>
            <w:vAlign w:val="center"/>
          </w:tcPr>
          <w:p w14:paraId="5638F4A7" w14:textId="77777777" w:rsidR="00F53AB1" w:rsidRPr="00A85FEA" w:rsidRDefault="00F53AB1" w:rsidP="00D87929">
            <w:pPr>
              <w:rPr>
                <w:rFonts w:cs="Arial"/>
                <w:szCs w:val="22"/>
                <w:lang w:eastAsia="es-CO"/>
              </w:rPr>
            </w:pPr>
            <w:r w:rsidRPr="00A85FEA">
              <w:rPr>
                <w:rFonts w:cs="Arial"/>
                <w:szCs w:val="22"/>
                <w:lang w:eastAsia="es-CO"/>
              </w:rPr>
              <w:t>TIPO DE CUENTA POR COBRAR</w:t>
            </w:r>
          </w:p>
        </w:tc>
        <w:tc>
          <w:tcPr>
            <w:tcW w:w="2977" w:type="dxa"/>
            <w:vAlign w:val="center"/>
          </w:tcPr>
          <w:p w14:paraId="620E8DB9" w14:textId="77777777" w:rsidR="00F53AB1" w:rsidRPr="00A85FEA" w:rsidRDefault="00F53AB1" w:rsidP="00D87929">
            <w:pPr>
              <w:rPr>
                <w:rFonts w:cs="Arial"/>
                <w:szCs w:val="22"/>
                <w:lang w:eastAsia="es-CO"/>
              </w:rPr>
            </w:pPr>
            <w:r w:rsidRPr="00A85FEA">
              <w:rPr>
                <w:rFonts w:cs="Arial"/>
                <w:szCs w:val="22"/>
                <w:lang w:eastAsia="es-CO"/>
              </w:rPr>
              <w:t>TERMINO DE RECAUDO NORMAL</w:t>
            </w:r>
          </w:p>
        </w:tc>
      </w:tr>
      <w:tr w:rsidR="00F53AB1" w:rsidRPr="00A85FEA" w14:paraId="3606454B" w14:textId="77777777" w:rsidTr="003A339B">
        <w:trPr>
          <w:jc w:val="center"/>
        </w:trPr>
        <w:tc>
          <w:tcPr>
            <w:tcW w:w="5949" w:type="dxa"/>
          </w:tcPr>
          <w:p w14:paraId="6DE1717E" w14:textId="77777777" w:rsidR="00F53AB1" w:rsidRPr="00A85FEA" w:rsidRDefault="00F53AB1" w:rsidP="00D87929">
            <w:pPr>
              <w:rPr>
                <w:rFonts w:cs="Arial"/>
                <w:szCs w:val="22"/>
                <w:lang w:eastAsia="es-CO"/>
              </w:rPr>
            </w:pPr>
            <w:r w:rsidRPr="00A85FEA">
              <w:rPr>
                <w:rFonts w:cs="Arial"/>
                <w:szCs w:val="22"/>
              </w:rPr>
              <w:t>Tasas</w:t>
            </w:r>
          </w:p>
        </w:tc>
        <w:tc>
          <w:tcPr>
            <w:tcW w:w="2977" w:type="dxa"/>
            <w:vAlign w:val="center"/>
          </w:tcPr>
          <w:p w14:paraId="7CCBEB13" w14:textId="77777777" w:rsidR="00F53AB1" w:rsidRPr="00A85FEA" w:rsidRDefault="00F53AB1" w:rsidP="00D87929">
            <w:pPr>
              <w:rPr>
                <w:rFonts w:cs="Arial"/>
                <w:szCs w:val="22"/>
                <w:lang w:eastAsia="es-CO"/>
              </w:rPr>
            </w:pPr>
            <w:r w:rsidRPr="00A85FEA">
              <w:rPr>
                <w:rFonts w:cs="Arial"/>
                <w:szCs w:val="22"/>
                <w:lang w:eastAsia="es-CO"/>
              </w:rPr>
              <w:t>30 días</w:t>
            </w:r>
          </w:p>
        </w:tc>
      </w:tr>
      <w:tr w:rsidR="00F53AB1" w:rsidRPr="00A85FEA" w14:paraId="751FF9B4" w14:textId="77777777" w:rsidTr="003A339B">
        <w:trPr>
          <w:jc w:val="center"/>
        </w:trPr>
        <w:tc>
          <w:tcPr>
            <w:tcW w:w="5949" w:type="dxa"/>
          </w:tcPr>
          <w:p w14:paraId="299D1ECC" w14:textId="77777777" w:rsidR="00F53AB1" w:rsidRPr="00A85FEA" w:rsidRDefault="00F53AB1" w:rsidP="00D87929">
            <w:pPr>
              <w:rPr>
                <w:rFonts w:cs="Arial"/>
                <w:szCs w:val="22"/>
                <w:lang w:eastAsia="es-CO"/>
              </w:rPr>
            </w:pPr>
            <w:r w:rsidRPr="00A85FEA">
              <w:rPr>
                <w:rFonts w:cs="Arial"/>
                <w:szCs w:val="22"/>
              </w:rPr>
              <w:t>Multas</w:t>
            </w:r>
          </w:p>
        </w:tc>
        <w:tc>
          <w:tcPr>
            <w:tcW w:w="2977" w:type="dxa"/>
            <w:vAlign w:val="center"/>
          </w:tcPr>
          <w:p w14:paraId="0BB335B4" w14:textId="77777777" w:rsidR="00F53AB1" w:rsidRPr="00A85FEA" w:rsidRDefault="00F53AB1" w:rsidP="00D87929">
            <w:pPr>
              <w:rPr>
                <w:rFonts w:cs="Arial"/>
                <w:szCs w:val="22"/>
                <w:lang w:eastAsia="es-CO"/>
              </w:rPr>
            </w:pPr>
            <w:r w:rsidRPr="00A85FEA">
              <w:rPr>
                <w:rFonts w:cs="Arial"/>
                <w:szCs w:val="22"/>
                <w:lang w:eastAsia="es-CO"/>
              </w:rPr>
              <w:t>30 días</w:t>
            </w:r>
          </w:p>
        </w:tc>
      </w:tr>
      <w:tr w:rsidR="00F53AB1" w:rsidRPr="00A85FEA" w14:paraId="10B5D0FA" w14:textId="77777777" w:rsidTr="003A339B">
        <w:trPr>
          <w:jc w:val="center"/>
        </w:trPr>
        <w:tc>
          <w:tcPr>
            <w:tcW w:w="5949" w:type="dxa"/>
          </w:tcPr>
          <w:p w14:paraId="66BB5AE2" w14:textId="77777777" w:rsidR="00F53AB1" w:rsidRPr="00A85FEA" w:rsidRDefault="00F53AB1" w:rsidP="00D87929">
            <w:pPr>
              <w:rPr>
                <w:rFonts w:cs="Arial"/>
                <w:szCs w:val="22"/>
              </w:rPr>
            </w:pPr>
            <w:r w:rsidRPr="00A85FEA">
              <w:rPr>
                <w:rFonts w:cs="Arial"/>
                <w:szCs w:val="22"/>
              </w:rPr>
              <w:t>Sanciones</w:t>
            </w:r>
          </w:p>
        </w:tc>
        <w:tc>
          <w:tcPr>
            <w:tcW w:w="2977" w:type="dxa"/>
            <w:vAlign w:val="center"/>
          </w:tcPr>
          <w:p w14:paraId="3C9A90E7" w14:textId="77777777" w:rsidR="00F53AB1" w:rsidRPr="00A85FEA" w:rsidRDefault="00F53AB1" w:rsidP="00D87929">
            <w:pPr>
              <w:rPr>
                <w:rFonts w:cs="Arial"/>
                <w:szCs w:val="22"/>
                <w:lang w:eastAsia="es-CO"/>
              </w:rPr>
            </w:pPr>
            <w:r w:rsidRPr="00A85FEA">
              <w:rPr>
                <w:rFonts w:cs="Arial"/>
                <w:szCs w:val="22"/>
                <w:lang w:eastAsia="es-CO"/>
              </w:rPr>
              <w:t>30 días</w:t>
            </w:r>
          </w:p>
        </w:tc>
      </w:tr>
      <w:tr w:rsidR="00F53AB1" w:rsidRPr="00A85FEA" w14:paraId="005A3B55" w14:textId="77777777" w:rsidTr="003A339B">
        <w:trPr>
          <w:jc w:val="center"/>
        </w:trPr>
        <w:tc>
          <w:tcPr>
            <w:tcW w:w="5949" w:type="dxa"/>
          </w:tcPr>
          <w:p w14:paraId="2A1EBF3E" w14:textId="77777777" w:rsidR="00F53AB1" w:rsidRPr="00A85FEA" w:rsidRDefault="00F53AB1" w:rsidP="00D87929">
            <w:pPr>
              <w:rPr>
                <w:rFonts w:cs="Arial"/>
                <w:szCs w:val="22"/>
                <w:lang w:eastAsia="es-CO"/>
              </w:rPr>
            </w:pPr>
            <w:r w:rsidRPr="00A85FEA">
              <w:rPr>
                <w:rFonts w:cs="Arial"/>
                <w:szCs w:val="22"/>
                <w:lang w:eastAsia="es-CO"/>
              </w:rPr>
              <w:t>Porcentaje y sobretasa ambiental al impuesto predial</w:t>
            </w:r>
          </w:p>
        </w:tc>
        <w:tc>
          <w:tcPr>
            <w:tcW w:w="2977" w:type="dxa"/>
            <w:vAlign w:val="center"/>
          </w:tcPr>
          <w:p w14:paraId="789B7EBE" w14:textId="77777777" w:rsidR="00F53AB1" w:rsidRPr="00A85FEA" w:rsidRDefault="00F53AB1" w:rsidP="00D87929">
            <w:pPr>
              <w:rPr>
                <w:rFonts w:cs="Arial"/>
                <w:szCs w:val="22"/>
                <w:lang w:eastAsia="es-CO"/>
              </w:rPr>
            </w:pPr>
            <w:r w:rsidRPr="00A85FEA">
              <w:rPr>
                <w:rFonts w:cs="Arial"/>
                <w:szCs w:val="22"/>
                <w:lang w:eastAsia="es-CO"/>
              </w:rPr>
              <w:t>120 días</w:t>
            </w:r>
          </w:p>
        </w:tc>
      </w:tr>
      <w:tr w:rsidR="00F53AB1" w:rsidRPr="00A85FEA" w14:paraId="70E9F577" w14:textId="77777777" w:rsidTr="003A339B">
        <w:trPr>
          <w:jc w:val="center"/>
        </w:trPr>
        <w:tc>
          <w:tcPr>
            <w:tcW w:w="5949" w:type="dxa"/>
          </w:tcPr>
          <w:p w14:paraId="20A2EC8B" w14:textId="77777777" w:rsidR="00F53AB1" w:rsidRPr="00A85FEA" w:rsidRDefault="00F53AB1" w:rsidP="00D87929">
            <w:pPr>
              <w:rPr>
                <w:rFonts w:cs="Arial"/>
                <w:szCs w:val="22"/>
                <w:lang w:eastAsia="es-CO"/>
              </w:rPr>
            </w:pPr>
            <w:r w:rsidRPr="00A85FEA">
              <w:rPr>
                <w:rFonts w:cs="Arial"/>
                <w:szCs w:val="22"/>
              </w:rPr>
              <w:t>Evaluación y seguimiento</w:t>
            </w:r>
          </w:p>
        </w:tc>
        <w:tc>
          <w:tcPr>
            <w:tcW w:w="2977" w:type="dxa"/>
            <w:vAlign w:val="center"/>
          </w:tcPr>
          <w:p w14:paraId="255960F9" w14:textId="77777777" w:rsidR="00F53AB1" w:rsidRPr="00A85FEA" w:rsidRDefault="00F53AB1" w:rsidP="00D87929">
            <w:pPr>
              <w:rPr>
                <w:rFonts w:cs="Arial"/>
                <w:szCs w:val="22"/>
                <w:lang w:eastAsia="es-CO"/>
              </w:rPr>
            </w:pPr>
            <w:r w:rsidRPr="00A85FEA">
              <w:rPr>
                <w:rFonts w:cs="Arial"/>
                <w:szCs w:val="22"/>
                <w:lang w:eastAsia="es-CO"/>
              </w:rPr>
              <w:t>30</w:t>
            </w:r>
          </w:p>
        </w:tc>
      </w:tr>
    </w:tbl>
    <w:p w14:paraId="5A7ABB3C" w14:textId="77777777" w:rsidR="00F53AB1" w:rsidRPr="00A85FEA" w:rsidRDefault="00F53AB1" w:rsidP="00D87929">
      <w:pPr>
        <w:rPr>
          <w:rFonts w:cs="Arial"/>
          <w:szCs w:val="22"/>
        </w:rPr>
      </w:pPr>
    </w:p>
    <w:p w14:paraId="316DC0F1" w14:textId="77777777" w:rsidR="00F53AB1" w:rsidRPr="00A85FEA" w:rsidRDefault="00F53AB1" w:rsidP="00EA0B00">
      <w:pPr>
        <w:jc w:val="both"/>
        <w:rPr>
          <w:rFonts w:cs="Arial"/>
          <w:szCs w:val="22"/>
        </w:rPr>
      </w:pPr>
      <w:r w:rsidRPr="00A85FEA">
        <w:rPr>
          <w:rFonts w:cs="Arial"/>
          <w:szCs w:val="22"/>
        </w:rPr>
        <w:t xml:space="preserve">Las cuentas por cobrar serán objeto de estimaciones de deterioro cuando exista evidencia objetiva del incumplimiento de los pagos a cargo del deudor. Para el efecto, por lo menos al final del periodo contable, se verificará si existen indicios de deterioro. </w:t>
      </w:r>
    </w:p>
    <w:p w14:paraId="5A8FB6B7" w14:textId="77777777" w:rsidR="00F53AB1" w:rsidRPr="00A85FEA" w:rsidRDefault="00F53AB1" w:rsidP="00D87929">
      <w:pPr>
        <w:rPr>
          <w:rFonts w:cs="Arial"/>
          <w:szCs w:val="22"/>
        </w:rPr>
      </w:pPr>
    </w:p>
    <w:p w14:paraId="56616A2A" w14:textId="77777777" w:rsidR="00F53AB1" w:rsidRPr="00A85FEA" w:rsidRDefault="00F53AB1" w:rsidP="00D87929">
      <w:pPr>
        <w:rPr>
          <w:rFonts w:cs="Arial"/>
          <w:szCs w:val="22"/>
        </w:rPr>
      </w:pPr>
      <w:r w:rsidRPr="00A85FEA">
        <w:rPr>
          <w:rFonts w:cs="Arial"/>
          <w:szCs w:val="22"/>
        </w:rPr>
        <w:t xml:space="preserve">4.8.2. Concepto de deterioro </w:t>
      </w:r>
    </w:p>
    <w:p w14:paraId="7232A55F" w14:textId="77777777" w:rsidR="00F53AB1" w:rsidRPr="00A85FEA" w:rsidRDefault="00F53AB1" w:rsidP="00D87929">
      <w:pPr>
        <w:rPr>
          <w:rFonts w:cs="Arial"/>
          <w:szCs w:val="22"/>
        </w:rPr>
      </w:pPr>
    </w:p>
    <w:p w14:paraId="1BFF1EBB" w14:textId="77777777" w:rsidR="00F53AB1" w:rsidRPr="00A85FEA" w:rsidRDefault="00F53AB1" w:rsidP="00EA0B00">
      <w:pPr>
        <w:jc w:val="both"/>
        <w:rPr>
          <w:rFonts w:cs="Arial"/>
          <w:szCs w:val="22"/>
        </w:rPr>
      </w:pPr>
      <w:r w:rsidRPr="00A85FEA">
        <w:rPr>
          <w:rFonts w:cs="Arial"/>
          <w:szCs w:val="22"/>
        </w:rPr>
        <w:t>El deterioro corresponderá al exceso del valor en libros de la cuenta por cobrar con respecto al valor presente de sus flujos de efectivo futuros estimados (excluyendo las pérdidas crediticias futuras en las que no se haya incurrido). Para el efecto, se utilizará, como factor de descuento la tasa de interés de mercado, por ejemplo, la tasa de interés aplicada a instrumentos similares. En el caso de los impuestos por cobrar, se tomará como tasa de descuento la de los TES con plazos similares a los estimados para la recuperación de los recursos. El deterioro se reconocerá de forma separada, como un menor valor de la cuenta por cobrar, afectando el gasto del periodo.</w:t>
      </w:r>
    </w:p>
    <w:p w14:paraId="254AB118" w14:textId="77777777" w:rsidR="00F53AB1" w:rsidRPr="00A85FEA" w:rsidRDefault="00F53AB1" w:rsidP="00D87929">
      <w:pPr>
        <w:rPr>
          <w:rFonts w:cs="Arial"/>
          <w:szCs w:val="22"/>
        </w:rPr>
      </w:pPr>
    </w:p>
    <w:p w14:paraId="3D78B24C" w14:textId="77777777" w:rsidR="00F53AB1" w:rsidRPr="00A85FEA" w:rsidRDefault="00F53AB1" w:rsidP="00D87929">
      <w:pPr>
        <w:rPr>
          <w:rFonts w:cs="Arial"/>
          <w:szCs w:val="22"/>
        </w:rPr>
      </w:pPr>
      <w:r w:rsidRPr="00A85FEA">
        <w:rPr>
          <w:rFonts w:cs="Arial"/>
          <w:szCs w:val="22"/>
        </w:rPr>
        <w:t>4.8.3. Determinación de deterioro</w:t>
      </w:r>
    </w:p>
    <w:p w14:paraId="5A5CD983" w14:textId="77777777" w:rsidR="00F53AB1" w:rsidRPr="00A85FEA" w:rsidRDefault="00F53AB1" w:rsidP="00D87929">
      <w:pPr>
        <w:rPr>
          <w:rFonts w:cs="Arial"/>
          <w:szCs w:val="22"/>
        </w:rPr>
      </w:pPr>
    </w:p>
    <w:p w14:paraId="37115081" w14:textId="77777777" w:rsidR="00F53AB1" w:rsidRPr="00A85FEA" w:rsidRDefault="00F53AB1" w:rsidP="00EA0B00">
      <w:pPr>
        <w:jc w:val="both"/>
        <w:rPr>
          <w:rFonts w:cs="Arial"/>
          <w:szCs w:val="22"/>
          <w:lang w:eastAsia="es-CO"/>
        </w:rPr>
      </w:pPr>
      <w:r w:rsidRPr="00A85FEA">
        <w:rPr>
          <w:rFonts w:cs="Arial"/>
          <w:szCs w:val="22"/>
        </w:rPr>
        <w:t xml:space="preserve">La Corporación para el Desarrollo Sostenible del Norte y el Oriente Amazónico – CDA determinara </w:t>
      </w:r>
      <w:r w:rsidRPr="00A85FEA">
        <w:rPr>
          <w:rFonts w:cs="Arial"/>
          <w:szCs w:val="22"/>
          <w:lang w:eastAsia="es-CO"/>
        </w:rPr>
        <w:t>el deterioro de las cuentas por cobrar, realizando mensualmente un análisis de las cuentas por cobrar por edades; las cuentas por cobrar que alcancen la edad de 90 días, serán objeto de deterioro.</w:t>
      </w:r>
    </w:p>
    <w:p w14:paraId="2E4A3D81" w14:textId="77777777" w:rsidR="00F53AB1" w:rsidRPr="00A85FEA" w:rsidRDefault="00F53AB1" w:rsidP="00EA0B00">
      <w:pPr>
        <w:jc w:val="both"/>
        <w:rPr>
          <w:rFonts w:cs="Arial"/>
          <w:szCs w:val="22"/>
          <w:lang w:eastAsia="es-CO"/>
        </w:rPr>
      </w:pPr>
    </w:p>
    <w:p w14:paraId="71265321" w14:textId="77777777" w:rsidR="00F53AB1" w:rsidRPr="00A85FEA" w:rsidRDefault="00F53AB1" w:rsidP="00EA0B00">
      <w:pPr>
        <w:jc w:val="both"/>
        <w:rPr>
          <w:rFonts w:cs="Arial"/>
          <w:szCs w:val="22"/>
          <w:lang w:eastAsia="es-CO"/>
        </w:rPr>
      </w:pPr>
      <w:r w:rsidRPr="00A85FEA">
        <w:rPr>
          <w:rFonts w:cs="Arial"/>
          <w:szCs w:val="22"/>
          <w:lang w:eastAsia="es-CO"/>
        </w:rPr>
        <w:t xml:space="preserve">El contador </w:t>
      </w:r>
      <w:r w:rsidRPr="00A85FEA">
        <w:rPr>
          <w:rFonts w:cs="Arial"/>
          <w:szCs w:val="22"/>
        </w:rPr>
        <w:t xml:space="preserve">en equipo con la Secretaria general </w:t>
      </w:r>
      <w:r w:rsidRPr="00A85FEA">
        <w:rPr>
          <w:rFonts w:cs="Arial"/>
          <w:szCs w:val="22"/>
          <w:lang w:eastAsia="es-CO"/>
        </w:rPr>
        <w:t xml:space="preserve">de la </w:t>
      </w:r>
      <w:r w:rsidRPr="00A85FEA">
        <w:rPr>
          <w:rFonts w:cs="Arial"/>
          <w:szCs w:val="22"/>
        </w:rPr>
        <w:t xml:space="preserve">Corporación para el Desarrollo Sostenible del Norte y el Oriente Amazónico – CDA realizara un análisis individual de las cuentas por cobrar para determinar cuáles de ellas con edad de 90 días no serán objeto de deterioro. No serán objeto de deterioro aquellas cuentas por cobrar con edad de igual o superior a 90 días que al ejercer la gestión de cobro, el deudor ha manifestado que pagara durante el periodo contable.  </w:t>
      </w:r>
    </w:p>
    <w:p w14:paraId="66500DF3" w14:textId="77777777" w:rsidR="00F53AB1" w:rsidRPr="00A85FEA" w:rsidRDefault="00F53AB1" w:rsidP="00EA0B00">
      <w:pPr>
        <w:jc w:val="both"/>
        <w:rPr>
          <w:rFonts w:cs="Arial"/>
          <w:szCs w:val="22"/>
          <w:lang w:eastAsia="es-CO"/>
        </w:rPr>
      </w:pPr>
    </w:p>
    <w:p w14:paraId="283411F3" w14:textId="77777777" w:rsidR="00F53AB1" w:rsidRPr="00A85FEA" w:rsidRDefault="00F53AB1" w:rsidP="00EA0B00">
      <w:pPr>
        <w:jc w:val="both"/>
        <w:rPr>
          <w:rFonts w:cs="Arial"/>
          <w:szCs w:val="22"/>
          <w:lang w:eastAsia="es-CO"/>
        </w:rPr>
      </w:pPr>
      <w:r w:rsidRPr="00A85FEA">
        <w:rPr>
          <w:rFonts w:cs="Arial"/>
          <w:szCs w:val="22"/>
          <w:lang w:eastAsia="es-CO"/>
        </w:rPr>
        <w:t xml:space="preserve">La gestión de cobro de las cuentas por cobrar la debe realizar el área encargada de la </w:t>
      </w:r>
      <w:r w:rsidRPr="00A85FEA">
        <w:rPr>
          <w:rFonts w:cs="Arial"/>
          <w:szCs w:val="22"/>
        </w:rPr>
        <w:t>Corporación para el Desarrollo Sostenible del Norte y el Oriente Amazónico – CDA independientemente de la determinación o no del deterioro.</w:t>
      </w:r>
    </w:p>
    <w:p w14:paraId="70A1559D" w14:textId="77777777" w:rsidR="00F53AB1" w:rsidRPr="00A85FEA" w:rsidRDefault="00F53AB1" w:rsidP="00EA0B00">
      <w:pPr>
        <w:jc w:val="both"/>
        <w:rPr>
          <w:rFonts w:cs="Arial"/>
          <w:szCs w:val="22"/>
        </w:rPr>
      </w:pPr>
    </w:p>
    <w:p w14:paraId="785E6D08" w14:textId="77777777" w:rsidR="00F53AB1" w:rsidRPr="00A85FEA" w:rsidRDefault="00F53AB1" w:rsidP="00EA0B00">
      <w:pPr>
        <w:jc w:val="both"/>
        <w:rPr>
          <w:rFonts w:cs="Arial"/>
          <w:szCs w:val="22"/>
        </w:rPr>
      </w:pPr>
      <w:r w:rsidRPr="00A85FEA">
        <w:rPr>
          <w:rFonts w:cs="Arial"/>
          <w:szCs w:val="22"/>
        </w:rPr>
        <w:lastRenderedPageBreak/>
        <w:t>Las estimaciones de deterioro de las cuentas por cobrar de la Corporación para el Desarrollo Sostenible del Norte y el Oriente Amazónico – CDA no tendrán factor de descuento, dado que, una vez vencido el plazo de recaudo de la cuenta por cobrar, el valor presente de los flujos futuros de efectivo es igual al valor en libros de la cuenta por cobrar.</w:t>
      </w:r>
    </w:p>
    <w:p w14:paraId="5989B5A1" w14:textId="77777777" w:rsidR="00F53AB1" w:rsidRPr="00A85FEA" w:rsidRDefault="00F53AB1" w:rsidP="00EA0B00">
      <w:pPr>
        <w:jc w:val="both"/>
        <w:rPr>
          <w:rFonts w:cs="Arial"/>
          <w:szCs w:val="22"/>
          <w:lang w:eastAsia="es-CO"/>
        </w:rPr>
      </w:pPr>
    </w:p>
    <w:p w14:paraId="1309C6B8" w14:textId="77777777" w:rsidR="00F53AB1" w:rsidRPr="00A85FEA" w:rsidRDefault="00F53AB1" w:rsidP="00EA0B00">
      <w:pPr>
        <w:jc w:val="both"/>
        <w:rPr>
          <w:rFonts w:cs="Arial"/>
          <w:szCs w:val="22"/>
          <w:lang w:eastAsia="es-CO"/>
        </w:rPr>
      </w:pPr>
      <w:r w:rsidRPr="00A85FEA">
        <w:rPr>
          <w:rFonts w:cs="Arial"/>
          <w:szCs w:val="22"/>
          <w:lang w:eastAsia="es-CO"/>
        </w:rPr>
        <w:t>Las cuentas por cobrar por concepto de Porcentaje y sobretasa ambiental al impuesto predial y por sobretasa ambiental</w:t>
      </w:r>
      <w:r w:rsidRPr="00A85FEA">
        <w:rPr>
          <w:rFonts w:cs="Arial"/>
          <w:szCs w:val="22"/>
        </w:rPr>
        <w:t xml:space="preserve"> por resguardos indígenas</w:t>
      </w:r>
      <w:r w:rsidRPr="00A85FEA">
        <w:rPr>
          <w:rFonts w:cs="Arial"/>
          <w:szCs w:val="22"/>
          <w:lang w:eastAsia="es-CO"/>
        </w:rPr>
        <w:t xml:space="preserve"> no tendrán deterioro y no prescribe</w:t>
      </w:r>
    </w:p>
    <w:p w14:paraId="79194387" w14:textId="77777777" w:rsidR="00F53AB1" w:rsidRPr="00A85FEA" w:rsidRDefault="00F53AB1" w:rsidP="00D87929">
      <w:pPr>
        <w:rPr>
          <w:rFonts w:cs="Arial"/>
          <w:szCs w:val="22"/>
        </w:rPr>
      </w:pPr>
    </w:p>
    <w:p w14:paraId="59408535" w14:textId="77777777" w:rsidR="00F53AB1" w:rsidRPr="00A85FEA" w:rsidRDefault="00F53AB1" w:rsidP="00D87929">
      <w:pPr>
        <w:rPr>
          <w:rFonts w:cs="Arial"/>
          <w:szCs w:val="22"/>
        </w:rPr>
      </w:pPr>
      <w:r w:rsidRPr="00A85FEA">
        <w:rPr>
          <w:rFonts w:cs="Arial"/>
          <w:szCs w:val="22"/>
        </w:rPr>
        <w:t>4.8.4. Reversión del deterioro</w:t>
      </w:r>
    </w:p>
    <w:p w14:paraId="1B432324" w14:textId="77777777" w:rsidR="00F53AB1" w:rsidRPr="00A85FEA" w:rsidRDefault="00F53AB1" w:rsidP="00D87929">
      <w:pPr>
        <w:rPr>
          <w:rFonts w:cs="Arial"/>
          <w:szCs w:val="22"/>
        </w:rPr>
      </w:pPr>
    </w:p>
    <w:p w14:paraId="79A7CA3B" w14:textId="77777777" w:rsidR="00F53AB1" w:rsidRPr="00A85FEA" w:rsidRDefault="00F53AB1" w:rsidP="00EA0B00">
      <w:pPr>
        <w:jc w:val="both"/>
        <w:rPr>
          <w:rFonts w:cs="Arial"/>
          <w:szCs w:val="22"/>
          <w:lang w:eastAsia="es-CO"/>
        </w:rPr>
      </w:pPr>
      <w:r w:rsidRPr="00A85FEA">
        <w:rPr>
          <w:rFonts w:cs="Arial"/>
          <w:szCs w:val="22"/>
        </w:rPr>
        <w:t>Si en una medición posterior, las pérdidas por deterioro disminuyen debido a eventos objetivamente relacionados con su origen, se disminuirá el valor del deterioro acumulado y se afectará el resultado del periodo. En todo caso, las disminuciones del deterioro no superarán las pérdidas por deterioro previamente reconocidas en el resultado.</w:t>
      </w:r>
    </w:p>
    <w:p w14:paraId="35063571" w14:textId="77777777" w:rsidR="00F53AB1" w:rsidRPr="00A85FEA" w:rsidRDefault="00F53AB1" w:rsidP="00494FF1">
      <w:pPr>
        <w:pStyle w:val="Ttulo1"/>
        <w:rPr>
          <w:rFonts w:ascii="Arial" w:hAnsi="Arial" w:cs="Arial"/>
          <w:color w:val="auto"/>
          <w:sz w:val="22"/>
          <w:szCs w:val="22"/>
          <w:lang w:eastAsia="es-CO"/>
        </w:rPr>
      </w:pPr>
      <w:bookmarkStart w:id="95" w:name="_Toc525721391"/>
      <w:r w:rsidRPr="00A85FEA">
        <w:rPr>
          <w:rFonts w:ascii="Arial" w:hAnsi="Arial" w:cs="Arial"/>
          <w:color w:val="auto"/>
          <w:sz w:val="22"/>
          <w:szCs w:val="22"/>
          <w:lang w:eastAsia="es-CO"/>
        </w:rPr>
        <w:t>4.9. Gestión de riesgo</w:t>
      </w:r>
      <w:bookmarkEnd w:id="95"/>
    </w:p>
    <w:p w14:paraId="4A3CFB34" w14:textId="77777777" w:rsidR="00F53AB1" w:rsidRPr="00A85FEA" w:rsidRDefault="00F53AB1" w:rsidP="00D87929">
      <w:pPr>
        <w:rPr>
          <w:rFonts w:cs="Arial"/>
          <w:szCs w:val="22"/>
          <w:lang w:eastAsia="es-CO"/>
        </w:rPr>
      </w:pPr>
    </w:p>
    <w:p w14:paraId="207DDADA" w14:textId="77777777" w:rsidR="00F53AB1" w:rsidRPr="00A85FEA" w:rsidRDefault="00F53AB1" w:rsidP="00494FF1">
      <w:pPr>
        <w:jc w:val="both"/>
        <w:rPr>
          <w:rFonts w:cs="Arial"/>
          <w:szCs w:val="22"/>
          <w:lang w:eastAsia="es-CO"/>
        </w:rPr>
      </w:pPr>
      <w:r w:rsidRPr="00A85FEA">
        <w:rPr>
          <w:rFonts w:cs="Arial"/>
          <w:szCs w:val="22"/>
          <w:lang w:eastAsia="es-CO"/>
        </w:rPr>
        <w:t>Que los actos administrativos no sean remitidos a contabilidad</w:t>
      </w:r>
    </w:p>
    <w:p w14:paraId="17419253" w14:textId="77777777" w:rsidR="00F53AB1" w:rsidRPr="00A85FEA" w:rsidRDefault="00F53AB1" w:rsidP="00494FF1">
      <w:pPr>
        <w:jc w:val="both"/>
        <w:rPr>
          <w:rFonts w:cs="Arial"/>
          <w:szCs w:val="22"/>
          <w:lang w:eastAsia="es-CO"/>
        </w:rPr>
      </w:pPr>
      <w:r w:rsidRPr="00A85FEA">
        <w:rPr>
          <w:rFonts w:cs="Arial"/>
          <w:szCs w:val="22"/>
          <w:lang w:eastAsia="es-CO"/>
        </w:rPr>
        <w:t xml:space="preserve">Que el recaudo de la cuenta por cobrar sea oneroso </w:t>
      </w:r>
    </w:p>
    <w:p w14:paraId="49972550" w14:textId="77777777" w:rsidR="00F53AB1" w:rsidRPr="00A85FEA" w:rsidRDefault="00F53AB1" w:rsidP="00494FF1">
      <w:pPr>
        <w:jc w:val="both"/>
        <w:rPr>
          <w:rFonts w:cs="Arial"/>
          <w:szCs w:val="22"/>
          <w:lang w:eastAsia="es-CO"/>
        </w:rPr>
      </w:pPr>
      <w:r w:rsidRPr="00A85FEA">
        <w:rPr>
          <w:rFonts w:cs="Arial"/>
          <w:szCs w:val="22"/>
          <w:lang w:eastAsia="es-CO"/>
        </w:rPr>
        <w:t>Montos de la cuenta por cobrar inmaterial</w:t>
      </w:r>
    </w:p>
    <w:p w14:paraId="467F3984" w14:textId="77777777" w:rsidR="00F53AB1" w:rsidRPr="00A85FEA" w:rsidRDefault="00F53AB1" w:rsidP="00494FF1">
      <w:pPr>
        <w:jc w:val="both"/>
        <w:rPr>
          <w:rFonts w:cs="Arial"/>
          <w:szCs w:val="22"/>
          <w:lang w:eastAsia="es-CO"/>
        </w:rPr>
      </w:pPr>
      <w:r w:rsidRPr="00A85FEA">
        <w:rPr>
          <w:rFonts w:cs="Arial"/>
          <w:szCs w:val="22"/>
          <w:lang w:eastAsia="es-CO"/>
        </w:rPr>
        <w:t>Falta de información para el reconocimiento de las cuentas por cobrar del porcentaje y sobretasa ambiental al impuesto predial y por sobretasa ambiental</w:t>
      </w:r>
      <w:r w:rsidRPr="00A85FEA">
        <w:rPr>
          <w:rFonts w:cs="Arial"/>
          <w:szCs w:val="22"/>
        </w:rPr>
        <w:t xml:space="preserve"> por resguardos indígenas</w:t>
      </w:r>
    </w:p>
    <w:p w14:paraId="19CE536C" w14:textId="77777777" w:rsidR="00F53AB1" w:rsidRPr="00A85FEA" w:rsidRDefault="00F53AB1" w:rsidP="00494FF1">
      <w:pPr>
        <w:pStyle w:val="Ttulo1"/>
        <w:rPr>
          <w:rFonts w:ascii="Arial" w:hAnsi="Arial" w:cs="Arial"/>
          <w:color w:val="auto"/>
          <w:sz w:val="22"/>
          <w:szCs w:val="22"/>
          <w:lang w:eastAsia="es-CO"/>
        </w:rPr>
      </w:pPr>
      <w:bookmarkStart w:id="96" w:name="_Toc525721392"/>
      <w:r w:rsidRPr="00A85FEA">
        <w:rPr>
          <w:rFonts w:ascii="Arial" w:hAnsi="Arial" w:cs="Arial"/>
          <w:color w:val="auto"/>
          <w:sz w:val="22"/>
          <w:szCs w:val="22"/>
          <w:lang w:eastAsia="es-CO"/>
        </w:rPr>
        <w:t>4.10. Controles Contables</w:t>
      </w:r>
      <w:bookmarkEnd w:id="96"/>
      <w:r w:rsidRPr="00A85FEA">
        <w:rPr>
          <w:rFonts w:ascii="Arial" w:hAnsi="Arial" w:cs="Arial"/>
          <w:color w:val="auto"/>
          <w:sz w:val="22"/>
          <w:szCs w:val="22"/>
          <w:lang w:eastAsia="es-CO"/>
        </w:rPr>
        <w:t xml:space="preserve"> </w:t>
      </w:r>
    </w:p>
    <w:p w14:paraId="1B63213D" w14:textId="77777777" w:rsidR="00F53AB1" w:rsidRPr="00A85FEA" w:rsidRDefault="00F53AB1" w:rsidP="00D87929">
      <w:pPr>
        <w:rPr>
          <w:rFonts w:cs="Arial"/>
          <w:szCs w:val="22"/>
          <w:lang w:eastAsia="es-CO"/>
        </w:rPr>
      </w:pPr>
    </w:p>
    <w:p w14:paraId="44FEF42E" w14:textId="77777777" w:rsidR="00F53AB1" w:rsidRPr="00A85FEA" w:rsidRDefault="00F53AB1" w:rsidP="00494FF1">
      <w:pPr>
        <w:jc w:val="both"/>
        <w:rPr>
          <w:rFonts w:cs="Arial"/>
          <w:szCs w:val="22"/>
          <w:lang w:eastAsia="es-CO"/>
        </w:rPr>
      </w:pPr>
      <w:r w:rsidRPr="00A85FEA">
        <w:rPr>
          <w:rFonts w:cs="Arial"/>
          <w:szCs w:val="22"/>
          <w:lang w:eastAsia="es-CO"/>
        </w:rPr>
        <w:t>Los directores seccionales garantizaran que todos los actos administrativos sean reportados a contabilidad</w:t>
      </w:r>
    </w:p>
    <w:p w14:paraId="03EA6C72" w14:textId="77777777" w:rsidR="00F53AB1" w:rsidRPr="00A85FEA" w:rsidRDefault="00F53AB1" w:rsidP="00494FF1">
      <w:pPr>
        <w:jc w:val="both"/>
        <w:rPr>
          <w:rFonts w:cs="Arial"/>
          <w:szCs w:val="22"/>
          <w:lang w:eastAsia="es-CO"/>
        </w:rPr>
      </w:pPr>
      <w:r w:rsidRPr="00A85FEA">
        <w:rPr>
          <w:rFonts w:cs="Arial"/>
          <w:szCs w:val="22"/>
          <w:lang w:eastAsia="es-CO"/>
        </w:rPr>
        <w:t xml:space="preserve">El contador conciliara mensualmente las cuentas por cobrar registradas en contabilidad con el RUIA </w:t>
      </w:r>
    </w:p>
    <w:p w14:paraId="534EFBD3" w14:textId="77777777" w:rsidR="00F53AB1" w:rsidRPr="00A85FEA" w:rsidRDefault="00F53AB1" w:rsidP="00494FF1">
      <w:pPr>
        <w:jc w:val="both"/>
        <w:rPr>
          <w:rFonts w:cs="Arial"/>
          <w:szCs w:val="22"/>
          <w:lang w:eastAsia="es-CO"/>
        </w:rPr>
      </w:pPr>
      <w:r w:rsidRPr="00A85FEA">
        <w:rPr>
          <w:rFonts w:cs="Arial"/>
          <w:szCs w:val="22"/>
          <w:lang w:eastAsia="es-CO"/>
        </w:rPr>
        <w:t>Los directores seccionales realizaran gestión de cobro persuasivo</w:t>
      </w:r>
    </w:p>
    <w:p w14:paraId="181FA027" w14:textId="77777777" w:rsidR="00F53AB1" w:rsidRPr="00A85FEA" w:rsidRDefault="00F53AB1" w:rsidP="00494FF1">
      <w:pPr>
        <w:jc w:val="both"/>
        <w:rPr>
          <w:rFonts w:cs="Arial"/>
          <w:szCs w:val="22"/>
          <w:lang w:eastAsia="es-CO"/>
        </w:rPr>
      </w:pPr>
      <w:r w:rsidRPr="00A85FEA">
        <w:rPr>
          <w:rFonts w:cs="Arial"/>
          <w:szCs w:val="22"/>
          <w:lang w:eastAsia="es-CO"/>
        </w:rPr>
        <w:t xml:space="preserve">Una vez agotado el cobro persuasivo pasar la información a la secretaria general para cobro coactivo </w:t>
      </w:r>
    </w:p>
    <w:p w14:paraId="104FAB1F" w14:textId="77777777" w:rsidR="00F53AB1" w:rsidRPr="00A85FEA" w:rsidRDefault="00F53AB1" w:rsidP="00494FF1">
      <w:pPr>
        <w:jc w:val="both"/>
        <w:rPr>
          <w:rFonts w:cs="Arial"/>
          <w:szCs w:val="22"/>
          <w:lang w:eastAsia="es-CO"/>
        </w:rPr>
      </w:pPr>
      <w:r w:rsidRPr="00A85FEA">
        <w:rPr>
          <w:rFonts w:cs="Arial"/>
          <w:szCs w:val="22"/>
          <w:lang w:eastAsia="es-CO"/>
        </w:rPr>
        <w:t xml:space="preserve">La gestión de cobro de las cuentas por cobrar se realizará indicando al deudor una cuenta bancaria local (donde se encuentra el deudor) a nombre de la </w:t>
      </w:r>
      <w:r w:rsidRPr="00A85FEA">
        <w:rPr>
          <w:rFonts w:cs="Arial"/>
          <w:szCs w:val="22"/>
        </w:rPr>
        <w:t>Corporación para el Desarrollo Sostenible del Norte y el Oriente Amazónico – CDA para evitar comisiones bancarias que en algunos casos superan el monto del recaudo</w:t>
      </w:r>
      <w:r w:rsidRPr="00A85FEA">
        <w:rPr>
          <w:rFonts w:cs="Arial"/>
          <w:szCs w:val="22"/>
          <w:lang w:eastAsia="es-CO"/>
        </w:rPr>
        <w:t>.</w:t>
      </w:r>
    </w:p>
    <w:p w14:paraId="5B648B84" w14:textId="77777777" w:rsidR="00F53AB1" w:rsidRPr="00A85FEA" w:rsidRDefault="00F53AB1" w:rsidP="00494FF1">
      <w:pPr>
        <w:jc w:val="both"/>
        <w:rPr>
          <w:rFonts w:cs="Arial"/>
          <w:szCs w:val="22"/>
          <w:lang w:eastAsia="es-CO"/>
        </w:rPr>
      </w:pPr>
      <w:r w:rsidRPr="00A85FEA">
        <w:rPr>
          <w:rFonts w:cs="Arial"/>
          <w:szCs w:val="22"/>
        </w:rPr>
        <w:t>El contador reclasificara las cuentas por cobrar que alcancen una edad de noventa días (90) en la cuenta de Cuentas por cobrar de difícil recaudo.</w:t>
      </w:r>
    </w:p>
    <w:p w14:paraId="3B493D31" w14:textId="77777777" w:rsidR="00F53AB1" w:rsidRPr="00A85FEA" w:rsidRDefault="00F53AB1" w:rsidP="00494FF1">
      <w:pPr>
        <w:jc w:val="both"/>
        <w:rPr>
          <w:rFonts w:cs="Arial"/>
          <w:szCs w:val="22"/>
          <w:lang w:eastAsia="es-CO"/>
        </w:rPr>
      </w:pPr>
      <w:r w:rsidRPr="00A85FEA">
        <w:rPr>
          <w:rFonts w:cs="Arial"/>
          <w:szCs w:val="22"/>
        </w:rPr>
        <w:lastRenderedPageBreak/>
        <w:t>La Dirección general Establecerá comunicación mensual con las alcaldías deudoras</w:t>
      </w:r>
      <w:r w:rsidRPr="00A85FEA">
        <w:rPr>
          <w:rFonts w:cs="Arial"/>
          <w:szCs w:val="22"/>
          <w:lang w:eastAsia="es-CO"/>
        </w:rPr>
        <w:t xml:space="preserve"> del porcentaje y sobretasa ambiental al impuesto predial y por sobretasa ambiental</w:t>
      </w:r>
      <w:r w:rsidRPr="00A85FEA">
        <w:rPr>
          <w:rFonts w:cs="Arial"/>
          <w:szCs w:val="22"/>
        </w:rPr>
        <w:t xml:space="preserve"> por resguardos indígenas, solicitando información sobre los conceptos recaudados, incluyendo los recargos.</w:t>
      </w:r>
    </w:p>
    <w:p w14:paraId="03BD4C68" w14:textId="77777777" w:rsidR="00F53AB1" w:rsidRPr="00A85FEA" w:rsidRDefault="00F53AB1" w:rsidP="00494FF1">
      <w:pPr>
        <w:pStyle w:val="Ttulo1"/>
        <w:rPr>
          <w:rFonts w:ascii="Arial" w:hAnsi="Arial" w:cs="Arial"/>
          <w:color w:val="auto"/>
          <w:sz w:val="22"/>
          <w:szCs w:val="22"/>
          <w:lang w:eastAsia="es-CO"/>
        </w:rPr>
      </w:pPr>
      <w:bookmarkStart w:id="97" w:name="_Toc525721393"/>
      <w:r w:rsidRPr="00A85FEA">
        <w:rPr>
          <w:rFonts w:ascii="Arial" w:hAnsi="Arial" w:cs="Arial"/>
          <w:color w:val="auto"/>
          <w:sz w:val="22"/>
          <w:szCs w:val="22"/>
          <w:lang w:eastAsia="es-CO"/>
        </w:rPr>
        <w:t>4.11. Baja en cuentas</w:t>
      </w:r>
      <w:bookmarkEnd w:id="97"/>
    </w:p>
    <w:p w14:paraId="1028EFD3" w14:textId="77777777" w:rsidR="00F53AB1" w:rsidRPr="00A85FEA" w:rsidRDefault="00F53AB1" w:rsidP="00D87929">
      <w:pPr>
        <w:rPr>
          <w:rFonts w:cs="Arial"/>
          <w:szCs w:val="22"/>
          <w:lang w:eastAsia="es-CO"/>
        </w:rPr>
      </w:pPr>
    </w:p>
    <w:p w14:paraId="0D85346B" w14:textId="77777777" w:rsidR="00F53AB1" w:rsidRPr="00A85FEA" w:rsidRDefault="00F53AB1" w:rsidP="00EA0B00">
      <w:pPr>
        <w:jc w:val="both"/>
        <w:rPr>
          <w:rFonts w:cs="Arial"/>
          <w:szCs w:val="22"/>
        </w:rPr>
      </w:pPr>
      <w:r w:rsidRPr="00A85FEA">
        <w:rPr>
          <w:rFonts w:cs="Arial"/>
          <w:szCs w:val="22"/>
        </w:rPr>
        <w:t>Se dejará de reconocer una cuenta por cobrar disminuyendo el valor en libros cuya contrapartida será el gasto en el resultado del periodo, cuando se den cualquiera de las siguientes condiciones:</w:t>
      </w:r>
    </w:p>
    <w:p w14:paraId="4A389A47" w14:textId="77777777" w:rsidR="00F53AB1" w:rsidRPr="00A85FEA" w:rsidRDefault="00F53AB1" w:rsidP="00D87929">
      <w:pPr>
        <w:rPr>
          <w:rFonts w:cs="Arial"/>
          <w:szCs w:val="22"/>
        </w:rPr>
      </w:pPr>
    </w:p>
    <w:p w14:paraId="7883727A" w14:textId="77777777" w:rsidR="00F53AB1" w:rsidRPr="00A85FEA" w:rsidRDefault="00494FF1" w:rsidP="00494FF1">
      <w:pPr>
        <w:jc w:val="both"/>
        <w:rPr>
          <w:rFonts w:cs="Arial"/>
          <w:szCs w:val="22"/>
        </w:rPr>
      </w:pPr>
      <w:r w:rsidRPr="00A85FEA">
        <w:rPr>
          <w:rFonts w:cs="Arial"/>
          <w:szCs w:val="22"/>
        </w:rPr>
        <w:t>Los</w:t>
      </w:r>
      <w:r w:rsidR="00F53AB1" w:rsidRPr="00A85FEA">
        <w:rPr>
          <w:rFonts w:cs="Arial"/>
          <w:szCs w:val="22"/>
        </w:rPr>
        <w:t xml:space="preserve"> derechos expiren</w:t>
      </w:r>
    </w:p>
    <w:p w14:paraId="65CBA69B" w14:textId="77777777" w:rsidR="00F53AB1" w:rsidRPr="00A85FEA" w:rsidRDefault="00494FF1" w:rsidP="00494FF1">
      <w:pPr>
        <w:jc w:val="both"/>
        <w:rPr>
          <w:rFonts w:cs="Arial"/>
          <w:szCs w:val="22"/>
        </w:rPr>
      </w:pPr>
      <w:r w:rsidRPr="00A85FEA">
        <w:rPr>
          <w:rFonts w:cs="Arial"/>
          <w:szCs w:val="22"/>
        </w:rPr>
        <w:t>Se</w:t>
      </w:r>
      <w:r w:rsidR="00F53AB1" w:rsidRPr="00A85FEA">
        <w:rPr>
          <w:rFonts w:cs="Arial"/>
          <w:szCs w:val="22"/>
        </w:rPr>
        <w:t xml:space="preserve"> renuncie a ellos o </w:t>
      </w:r>
    </w:p>
    <w:p w14:paraId="50C384EA" w14:textId="77777777" w:rsidR="00F53AB1" w:rsidRPr="00A85FEA" w:rsidRDefault="00494FF1" w:rsidP="00494FF1">
      <w:pPr>
        <w:jc w:val="both"/>
        <w:rPr>
          <w:rFonts w:cs="Arial"/>
          <w:szCs w:val="22"/>
        </w:rPr>
      </w:pPr>
      <w:r w:rsidRPr="00A85FEA">
        <w:rPr>
          <w:rFonts w:cs="Arial"/>
          <w:szCs w:val="22"/>
        </w:rPr>
        <w:t>Cuando</w:t>
      </w:r>
      <w:r w:rsidR="00F53AB1" w:rsidRPr="00A85FEA">
        <w:rPr>
          <w:rFonts w:cs="Arial"/>
          <w:szCs w:val="22"/>
        </w:rPr>
        <w:t xml:space="preserve"> los riesgos y las ventajas inherentes a la cuenta por cobrar se transfieran. </w:t>
      </w:r>
    </w:p>
    <w:p w14:paraId="77CEE177" w14:textId="77777777" w:rsidR="00F53AB1" w:rsidRPr="00A85FEA" w:rsidRDefault="00F53AB1" w:rsidP="00494FF1">
      <w:pPr>
        <w:jc w:val="both"/>
        <w:rPr>
          <w:rFonts w:cs="Arial"/>
          <w:szCs w:val="22"/>
        </w:rPr>
      </w:pPr>
      <w:r w:rsidRPr="00A85FEA">
        <w:rPr>
          <w:rFonts w:cs="Arial"/>
          <w:szCs w:val="22"/>
        </w:rPr>
        <w:t xml:space="preserve">La cuenta por cobrar cuyo saldo sea inferior a un (01) salario mínimo legal diario vigente (SMLDV), </w:t>
      </w:r>
      <w:r w:rsidRPr="00A85FEA">
        <w:rPr>
          <w:rFonts w:cs="Arial"/>
          <w:szCs w:val="22"/>
          <w:lang w:eastAsia="es-CO"/>
        </w:rPr>
        <w:t xml:space="preserve">la </w:t>
      </w:r>
      <w:r w:rsidRPr="00A85FEA">
        <w:rPr>
          <w:rFonts w:cs="Arial"/>
          <w:szCs w:val="22"/>
        </w:rPr>
        <w:t>Corporación para el Desarrollo Sostenible del Norte y el Oriente Amazónico – CDA, mediante acta de aprobación del comité técnico de sostenibilidad del sistema contable, procederá a dar de baja dichos saldos cuando sea incosteable su cobro y/o se demuestre la insolvencia del deudor y dichas cuentas por cobrar estén deterioradas.</w:t>
      </w:r>
    </w:p>
    <w:p w14:paraId="56AC97FA" w14:textId="77777777" w:rsidR="00F53AB1" w:rsidRPr="00A85FEA" w:rsidRDefault="00F53AB1" w:rsidP="00494FF1">
      <w:pPr>
        <w:pStyle w:val="Ttulo1"/>
        <w:rPr>
          <w:rFonts w:ascii="Arial" w:hAnsi="Arial" w:cs="Arial"/>
          <w:color w:val="auto"/>
          <w:sz w:val="22"/>
          <w:szCs w:val="22"/>
          <w:lang w:eastAsia="es-CO"/>
        </w:rPr>
      </w:pPr>
      <w:bookmarkStart w:id="98" w:name="_Toc525721394"/>
      <w:r w:rsidRPr="00A85FEA">
        <w:rPr>
          <w:rFonts w:ascii="Arial" w:hAnsi="Arial" w:cs="Arial"/>
          <w:color w:val="auto"/>
          <w:sz w:val="22"/>
          <w:szCs w:val="22"/>
          <w:lang w:eastAsia="es-CO"/>
        </w:rPr>
        <w:t>4.12. Revelaciones</w:t>
      </w:r>
      <w:bookmarkEnd w:id="98"/>
    </w:p>
    <w:p w14:paraId="364F3480" w14:textId="77777777" w:rsidR="00F53AB1" w:rsidRPr="00A85FEA" w:rsidRDefault="00F53AB1" w:rsidP="00D87929">
      <w:pPr>
        <w:rPr>
          <w:rFonts w:cs="Arial"/>
          <w:szCs w:val="22"/>
          <w:lang w:eastAsia="es-CO"/>
        </w:rPr>
      </w:pPr>
    </w:p>
    <w:p w14:paraId="179DF4CF" w14:textId="77777777" w:rsidR="00F53AB1" w:rsidRPr="00A85FEA" w:rsidRDefault="00F53AB1" w:rsidP="00494FF1">
      <w:pPr>
        <w:jc w:val="both"/>
        <w:rPr>
          <w:rFonts w:cs="Arial"/>
          <w:szCs w:val="22"/>
          <w:lang w:eastAsia="es-CO"/>
        </w:rPr>
      </w:pPr>
      <w:r w:rsidRPr="00A85FEA">
        <w:rPr>
          <w:rFonts w:cs="Arial"/>
          <w:szCs w:val="22"/>
          <w:lang w:eastAsia="es-CO"/>
        </w:rPr>
        <w:t>Las cuentas por cobrar se revelan en las notas a los estados financieros, teniendo en cuenta los siguientes criterios:</w:t>
      </w:r>
    </w:p>
    <w:p w14:paraId="21C568AA" w14:textId="77777777" w:rsidR="00F53AB1" w:rsidRPr="00A85FEA" w:rsidRDefault="00F53AB1" w:rsidP="00494FF1">
      <w:pPr>
        <w:jc w:val="both"/>
        <w:rPr>
          <w:rFonts w:cs="Arial"/>
          <w:szCs w:val="22"/>
        </w:rPr>
      </w:pPr>
      <w:r w:rsidRPr="00A85FEA">
        <w:rPr>
          <w:rFonts w:cs="Arial"/>
          <w:szCs w:val="22"/>
        </w:rPr>
        <w:t>La Corporación para el Desarrollo Sostenible del Norte y el Oriente Amazónico – CDA revelará, para cada categoría de las cuentas por cobrar, información relativa al valor en libros y a las condiciones de la cuenta por cobrar, tales como: plazo, tasa de interés, vencimiento.</w:t>
      </w:r>
    </w:p>
    <w:p w14:paraId="2D4D15D4" w14:textId="77777777" w:rsidR="00F53AB1" w:rsidRPr="00A85FEA" w:rsidRDefault="00F53AB1" w:rsidP="00D87929">
      <w:pPr>
        <w:rPr>
          <w:rFonts w:cs="Arial"/>
          <w:szCs w:val="22"/>
        </w:rPr>
      </w:pPr>
    </w:p>
    <w:p w14:paraId="014B3837" w14:textId="77777777" w:rsidR="00F53AB1" w:rsidRPr="00A85FEA" w:rsidRDefault="00F53AB1" w:rsidP="00D87929">
      <w:pPr>
        <w:rPr>
          <w:rFonts w:cs="Arial"/>
          <w:szCs w:val="22"/>
        </w:rPr>
      </w:pPr>
      <w:r w:rsidRPr="00A85FEA">
        <w:rPr>
          <w:rFonts w:cs="Arial"/>
          <w:szCs w:val="22"/>
        </w:rPr>
        <w:t xml:space="preserve">Se revelará el valor de las pérdidas por deterioro, o de su reversión, reconocidas durante el periodo contable, así como el deterioro acumulado. </w:t>
      </w:r>
    </w:p>
    <w:p w14:paraId="3DB8536C" w14:textId="77777777" w:rsidR="00F53AB1" w:rsidRPr="00A85FEA" w:rsidRDefault="00F53AB1" w:rsidP="00D87929">
      <w:pPr>
        <w:rPr>
          <w:rFonts w:cs="Arial"/>
          <w:szCs w:val="22"/>
        </w:rPr>
      </w:pPr>
    </w:p>
    <w:p w14:paraId="63652DFA" w14:textId="77777777" w:rsidR="00F53AB1" w:rsidRPr="00A85FEA" w:rsidRDefault="00F53AB1" w:rsidP="00EC4E0F">
      <w:pPr>
        <w:jc w:val="both"/>
        <w:rPr>
          <w:rFonts w:cs="Arial"/>
          <w:szCs w:val="22"/>
        </w:rPr>
      </w:pPr>
      <w:r w:rsidRPr="00A85FEA">
        <w:rPr>
          <w:rFonts w:cs="Arial"/>
          <w:szCs w:val="22"/>
        </w:rPr>
        <w:t>Adicionalmente, se revelará a) un análisis de la antigüedad de las cuentas por cobrar que estén en mora, pero no deterioradas, al final del periodo y</w:t>
      </w:r>
    </w:p>
    <w:p w14:paraId="3BA1A9A9" w14:textId="77777777" w:rsidR="00F53AB1" w:rsidRPr="00A85FEA" w:rsidRDefault="00F53AB1" w:rsidP="00EC4E0F">
      <w:pPr>
        <w:jc w:val="both"/>
        <w:rPr>
          <w:rFonts w:cs="Arial"/>
          <w:szCs w:val="22"/>
        </w:rPr>
      </w:pPr>
    </w:p>
    <w:p w14:paraId="43F68A11" w14:textId="77777777" w:rsidR="00F53AB1" w:rsidRPr="00A85FEA" w:rsidRDefault="00F837B2" w:rsidP="00EC4E0F">
      <w:pPr>
        <w:jc w:val="both"/>
        <w:rPr>
          <w:rFonts w:cs="Arial"/>
          <w:szCs w:val="22"/>
        </w:rPr>
      </w:pPr>
      <w:r w:rsidRPr="00A85FEA">
        <w:rPr>
          <w:rFonts w:cs="Arial"/>
          <w:szCs w:val="22"/>
        </w:rPr>
        <w:t>Un</w:t>
      </w:r>
      <w:r w:rsidR="00F53AB1" w:rsidRPr="00A85FEA">
        <w:rPr>
          <w:rFonts w:cs="Arial"/>
          <w:szCs w:val="22"/>
        </w:rPr>
        <w:t xml:space="preserve"> análisis de las cuentas por cobrar que se hayan determinado individualmente como deterioradas al final del periodo, incluyendo los factores que la empresa haya considerado para determinar su deterioro. </w:t>
      </w:r>
    </w:p>
    <w:p w14:paraId="641B8790" w14:textId="77777777" w:rsidR="00F53AB1" w:rsidRPr="00A85FEA" w:rsidRDefault="00F53AB1" w:rsidP="00F837B2">
      <w:pPr>
        <w:pStyle w:val="Ttulo1"/>
        <w:rPr>
          <w:rFonts w:ascii="Arial" w:hAnsi="Arial" w:cs="Arial"/>
          <w:color w:val="auto"/>
          <w:sz w:val="22"/>
          <w:szCs w:val="22"/>
        </w:rPr>
      </w:pPr>
      <w:bookmarkStart w:id="99" w:name="_Toc525721395"/>
      <w:r w:rsidRPr="00A85FEA">
        <w:rPr>
          <w:rFonts w:ascii="Arial" w:hAnsi="Arial" w:cs="Arial"/>
          <w:color w:val="auto"/>
          <w:sz w:val="22"/>
          <w:szCs w:val="22"/>
        </w:rPr>
        <w:lastRenderedPageBreak/>
        <w:t>5. POLÍTICA DE PROPIEDADES, PLANTA Y EQUIPO</w:t>
      </w:r>
      <w:bookmarkEnd w:id="99"/>
    </w:p>
    <w:p w14:paraId="0F2C93E7" w14:textId="77777777" w:rsidR="00F53AB1" w:rsidRPr="00A85FEA" w:rsidRDefault="00F53AB1" w:rsidP="00F837B2">
      <w:pPr>
        <w:pStyle w:val="Ttulo1"/>
        <w:rPr>
          <w:rFonts w:ascii="Arial" w:hAnsi="Arial" w:cs="Arial"/>
          <w:color w:val="auto"/>
          <w:sz w:val="22"/>
          <w:szCs w:val="22"/>
        </w:rPr>
      </w:pPr>
      <w:bookmarkStart w:id="100" w:name="_Toc525721396"/>
      <w:r w:rsidRPr="00A85FEA">
        <w:rPr>
          <w:rFonts w:ascii="Arial" w:hAnsi="Arial" w:cs="Arial"/>
          <w:color w:val="auto"/>
          <w:sz w:val="22"/>
          <w:szCs w:val="22"/>
        </w:rPr>
        <w:t>5.1. Objetivo</w:t>
      </w:r>
      <w:bookmarkEnd w:id="100"/>
    </w:p>
    <w:p w14:paraId="3C32D0AC" w14:textId="77777777" w:rsidR="00F53AB1" w:rsidRPr="00A85FEA" w:rsidRDefault="00F53AB1" w:rsidP="00D87929">
      <w:pPr>
        <w:rPr>
          <w:rFonts w:cs="Arial"/>
          <w:szCs w:val="22"/>
        </w:rPr>
      </w:pPr>
    </w:p>
    <w:p w14:paraId="047C2277" w14:textId="77777777" w:rsidR="00F53AB1" w:rsidRPr="00A85FEA" w:rsidRDefault="00F53AB1" w:rsidP="00F837B2">
      <w:pPr>
        <w:jc w:val="both"/>
        <w:rPr>
          <w:rFonts w:eastAsia="Calibri" w:cs="Arial"/>
          <w:szCs w:val="22"/>
        </w:rPr>
      </w:pPr>
      <w:r w:rsidRPr="00A85FEA">
        <w:rPr>
          <w:rFonts w:cs="Arial"/>
          <w:szCs w:val="22"/>
        </w:rPr>
        <w:t>Determinar los criterios para el reconocimiento, medición, presentación y revelación de los elementos que conforman las Propiedades, Planta y Equipo de la Corporación para el Desarrollo Sostenible del Norte y el Oriente Amazónico – CDA</w:t>
      </w:r>
      <w:r w:rsidRPr="00A85FEA">
        <w:rPr>
          <w:rFonts w:eastAsia="Calibri" w:cs="Arial"/>
          <w:szCs w:val="22"/>
        </w:rPr>
        <w:t>.</w:t>
      </w:r>
    </w:p>
    <w:p w14:paraId="2942E9C0" w14:textId="77777777" w:rsidR="00F53AB1" w:rsidRPr="00A85FEA" w:rsidRDefault="00F53AB1" w:rsidP="00F837B2">
      <w:pPr>
        <w:pStyle w:val="Ttulo1"/>
        <w:rPr>
          <w:rFonts w:ascii="Arial" w:hAnsi="Arial" w:cs="Arial"/>
          <w:color w:val="auto"/>
          <w:sz w:val="22"/>
          <w:szCs w:val="22"/>
        </w:rPr>
      </w:pPr>
      <w:bookmarkStart w:id="101" w:name="_Toc525721397"/>
      <w:r w:rsidRPr="00A85FEA">
        <w:rPr>
          <w:rFonts w:ascii="Arial" w:hAnsi="Arial" w:cs="Arial"/>
          <w:color w:val="auto"/>
          <w:sz w:val="22"/>
          <w:szCs w:val="22"/>
        </w:rPr>
        <w:t>5.2. Normatividad Relacionada</w:t>
      </w:r>
      <w:bookmarkEnd w:id="101"/>
    </w:p>
    <w:p w14:paraId="070E3F46" w14:textId="77777777" w:rsidR="00F53AB1" w:rsidRPr="00A85FEA" w:rsidRDefault="00F53AB1" w:rsidP="00D87929">
      <w:pPr>
        <w:rPr>
          <w:rFonts w:cs="Arial"/>
          <w:szCs w:val="22"/>
        </w:rPr>
      </w:pPr>
    </w:p>
    <w:p w14:paraId="489E0FB6" w14:textId="77777777" w:rsidR="00F53AB1" w:rsidRPr="00A85FEA" w:rsidRDefault="00F53AB1" w:rsidP="00F837B2">
      <w:pPr>
        <w:jc w:val="both"/>
        <w:rPr>
          <w:rFonts w:cs="Arial"/>
          <w:szCs w:val="22"/>
        </w:rPr>
      </w:pPr>
      <w:r w:rsidRPr="00A85FEA">
        <w:rPr>
          <w:rFonts w:cs="Arial"/>
          <w:szCs w:val="22"/>
        </w:rPr>
        <w:t>Normas para el Reconocimiento, Medición, Revelación y Presentación de los Hechos Económicos de las entidades de Gobierno, Capítulo I. Activos, Numeral 10. Propiedades, planta y equipo.</w:t>
      </w:r>
    </w:p>
    <w:p w14:paraId="72CD8431" w14:textId="77777777" w:rsidR="00F53AB1" w:rsidRPr="00A85FEA" w:rsidRDefault="00F53AB1" w:rsidP="00F837B2">
      <w:pPr>
        <w:pStyle w:val="Ttulo1"/>
        <w:rPr>
          <w:rFonts w:ascii="Arial" w:hAnsi="Arial" w:cs="Arial"/>
          <w:color w:val="auto"/>
          <w:sz w:val="22"/>
          <w:szCs w:val="22"/>
        </w:rPr>
      </w:pPr>
      <w:bookmarkStart w:id="102" w:name="_Toc525721398"/>
      <w:r w:rsidRPr="00A85FEA">
        <w:rPr>
          <w:rFonts w:ascii="Arial" w:hAnsi="Arial" w:cs="Arial"/>
          <w:color w:val="auto"/>
          <w:sz w:val="22"/>
          <w:szCs w:val="22"/>
        </w:rPr>
        <w:t>5.3. Alcance</w:t>
      </w:r>
      <w:bookmarkEnd w:id="102"/>
    </w:p>
    <w:p w14:paraId="51554C27" w14:textId="77777777" w:rsidR="00F53AB1" w:rsidRPr="00A85FEA" w:rsidRDefault="00F53AB1" w:rsidP="00D87929">
      <w:pPr>
        <w:rPr>
          <w:rFonts w:cs="Arial"/>
          <w:szCs w:val="22"/>
        </w:rPr>
      </w:pPr>
    </w:p>
    <w:p w14:paraId="505753DA" w14:textId="77777777" w:rsidR="00F53AB1" w:rsidRPr="00A85FEA" w:rsidRDefault="00F53AB1" w:rsidP="00F837B2">
      <w:pPr>
        <w:jc w:val="both"/>
        <w:rPr>
          <w:rFonts w:cs="Arial"/>
          <w:szCs w:val="22"/>
        </w:rPr>
      </w:pPr>
      <w:r w:rsidRPr="00A85FEA">
        <w:rPr>
          <w:rFonts w:cs="Arial"/>
          <w:szCs w:val="22"/>
        </w:rPr>
        <w:t>Esta política contable ha sido elaborada con base en las propiedades, planta y equipo con los que cuenta y/o podría contar la Corporación para el Desarrollo Sostenible del Norte y el Oriente Amazónico – CDA</w:t>
      </w:r>
      <w:r w:rsidRPr="00A85FEA">
        <w:rPr>
          <w:rFonts w:cs="Arial"/>
          <w:szCs w:val="22"/>
          <w:shd w:val="clear" w:color="auto" w:fill="FFFFFF"/>
        </w:rPr>
        <w:t xml:space="preserve"> y aplica para:</w:t>
      </w:r>
    </w:p>
    <w:p w14:paraId="4138AA50" w14:textId="77777777" w:rsidR="00F53AB1" w:rsidRPr="00A85FEA" w:rsidRDefault="00F53AB1" w:rsidP="00D87929">
      <w:pPr>
        <w:rPr>
          <w:rFonts w:cs="Arial"/>
          <w:szCs w:val="22"/>
        </w:rPr>
      </w:pPr>
    </w:p>
    <w:p w14:paraId="35EA89EB" w14:textId="77777777" w:rsidR="00F53AB1" w:rsidRPr="00A85FEA" w:rsidRDefault="00F53AB1" w:rsidP="00D87929">
      <w:pPr>
        <w:rPr>
          <w:rFonts w:cs="Arial"/>
          <w:szCs w:val="22"/>
          <w:lang w:val="es-VE" w:eastAsia="es-CO"/>
        </w:rPr>
      </w:pPr>
      <w:r w:rsidRPr="00A85FEA">
        <w:rPr>
          <w:rFonts w:cs="Arial"/>
          <w:szCs w:val="22"/>
          <w:lang w:val="es-VE" w:eastAsia="es-CO"/>
        </w:rPr>
        <w:t>Terrenos</w:t>
      </w:r>
    </w:p>
    <w:p w14:paraId="01B9C176" w14:textId="77777777" w:rsidR="00F53AB1" w:rsidRPr="00A85FEA" w:rsidRDefault="00F53AB1" w:rsidP="00D87929">
      <w:pPr>
        <w:rPr>
          <w:rFonts w:cs="Arial"/>
          <w:szCs w:val="22"/>
          <w:lang w:val="es-VE" w:eastAsia="es-CO"/>
        </w:rPr>
      </w:pPr>
      <w:r w:rsidRPr="00A85FEA">
        <w:rPr>
          <w:rFonts w:cs="Arial"/>
          <w:szCs w:val="22"/>
          <w:lang w:val="es-VE" w:eastAsia="es-CO"/>
        </w:rPr>
        <w:t>Bienes muebles en bodega</w:t>
      </w:r>
    </w:p>
    <w:p w14:paraId="4E3F6B1D" w14:textId="77777777" w:rsidR="00F53AB1" w:rsidRPr="00A85FEA" w:rsidRDefault="00F53AB1" w:rsidP="00D87929">
      <w:pPr>
        <w:rPr>
          <w:rFonts w:cs="Arial"/>
          <w:szCs w:val="22"/>
          <w:lang w:val="es-VE" w:eastAsia="es-CO"/>
        </w:rPr>
      </w:pPr>
      <w:r w:rsidRPr="00A85FEA">
        <w:rPr>
          <w:rFonts w:cs="Arial"/>
          <w:szCs w:val="22"/>
          <w:lang w:val="es-VE" w:eastAsia="es-CO"/>
        </w:rPr>
        <w:t>Propiedades, planta y equipo no explotados</w:t>
      </w:r>
    </w:p>
    <w:p w14:paraId="71FD078F" w14:textId="77777777" w:rsidR="00F53AB1" w:rsidRPr="00A85FEA" w:rsidRDefault="00F53AB1" w:rsidP="00D87929">
      <w:pPr>
        <w:rPr>
          <w:rFonts w:cs="Arial"/>
          <w:szCs w:val="22"/>
          <w:lang w:val="es-VE" w:eastAsia="es-CO"/>
        </w:rPr>
      </w:pPr>
      <w:r w:rsidRPr="00A85FEA">
        <w:rPr>
          <w:rFonts w:cs="Arial"/>
          <w:szCs w:val="22"/>
          <w:lang w:val="es-VE" w:eastAsia="es-CO"/>
        </w:rPr>
        <w:t>Edificaciones</w:t>
      </w:r>
    </w:p>
    <w:p w14:paraId="1317E97F" w14:textId="77777777" w:rsidR="00F53AB1" w:rsidRPr="00A85FEA" w:rsidRDefault="00F53AB1" w:rsidP="00D87929">
      <w:pPr>
        <w:rPr>
          <w:rFonts w:cs="Arial"/>
          <w:szCs w:val="22"/>
          <w:lang w:val="es-VE" w:eastAsia="es-CO"/>
        </w:rPr>
      </w:pPr>
      <w:r w:rsidRPr="00A85FEA">
        <w:rPr>
          <w:rFonts w:cs="Arial"/>
          <w:szCs w:val="22"/>
          <w:lang w:val="es-VE" w:eastAsia="es-CO"/>
        </w:rPr>
        <w:t>Maquinaria y equipo</w:t>
      </w:r>
    </w:p>
    <w:p w14:paraId="17655A06" w14:textId="77777777" w:rsidR="00F53AB1" w:rsidRPr="00A85FEA" w:rsidRDefault="00F53AB1" w:rsidP="00D87929">
      <w:pPr>
        <w:rPr>
          <w:rFonts w:cs="Arial"/>
          <w:szCs w:val="22"/>
          <w:lang w:val="es-VE" w:eastAsia="es-CO"/>
        </w:rPr>
      </w:pPr>
      <w:r w:rsidRPr="00A85FEA">
        <w:rPr>
          <w:rFonts w:cs="Arial"/>
          <w:szCs w:val="22"/>
          <w:lang w:val="es-VE" w:eastAsia="es-CO"/>
        </w:rPr>
        <w:t>Equipo médico y científico</w:t>
      </w:r>
    </w:p>
    <w:p w14:paraId="263B4417" w14:textId="77777777" w:rsidR="00F53AB1" w:rsidRPr="00A85FEA" w:rsidRDefault="00F53AB1" w:rsidP="00D87929">
      <w:pPr>
        <w:rPr>
          <w:rFonts w:cs="Arial"/>
          <w:szCs w:val="22"/>
          <w:lang w:val="es-VE" w:eastAsia="es-CO"/>
        </w:rPr>
      </w:pPr>
      <w:r w:rsidRPr="00A85FEA">
        <w:rPr>
          <w:rFonts w:cs="Arial"/>
          <w:szCs w:val="22"/>
          <w:lang w:val="es-VE" w:eastAsia="es-CO"/>
        </w:rPr>
        <w:t>Muebles, enseres y equipo de ofician</w:t>
      </w:r>
    </w:p>
    <w:p w14:paraId="4AAFEAC4" w14:textId="77777777" w:rsidR="00F53AB1" w:rsidRPr="00A85FEA" w:rsidRDefault="00F53AB1" w:rsidP="00D87929">
      <w:pPr>
        <w:rPr>
          <w:rFonts w:cs="Arial"/>
          <w:szCs w:val="22"/>
          <w:lang w:val="es-VE" w:eastAsia="es-CO"/>
        </w:rPr>
      </w:pPr>
      <w:r w:rsidRPr="00A85FEA">
        <w:rPr>
          <w:rFonts w:cs="Arial"/>
          <w:szCs w:val="22"/>
          <w:lang w:val="es-VE" w:eastAsia="es-CO"/>
        </w:rPr>
        <w:t>Equipos de comunicación y computación</w:t>
      </w:r>
    </w:p>
    <w:p w14:paraId="59CE34D2" w14:textId="77777777" w:rsidR="00F53AB1" w:rsidRPr="00A85FEA" w:rsidRDefault="00F53AB1" w:rsidP="00D87929">
      <w:pPr>
        <w:rPr>
          <w:rFonts w:cs="Arial"/>
          <w:szCs w:val="22"/>
          <w:lang w:val="es-VE" w:eastAsia="es-CO"/>
        </w:rPr>
      </w:pPr>
      <w:r w:rsidRPr="00A85FEA">
        <w:rPr>
          <w:rFonts w:cs="Arial"/>
          <w:szCs w:val="22"/>
          <w:lang w:val="es-VE" w:eastAsia="es-CO"/>
        </w:rPr>
        <w:t>Bienes de arte y cultura</w:t>
      </w:r>
    </w:p>
    <w:p w14:paraId="56CD5167" w14:textId="77777777" w:rsidR="00F53AB1" w:rsidRPr="00A85FEA" w:rsidRDefault="00F53AB1" w:rsidP="00D87929">
      <w:pPr>
        <w:rPr>
          <w:rFonts w:cs="Arial"/>
          <w:szCs w:val="22"/>
          <w:lang w:val="es-VE" w:eastAsia="es-CO"/>
        </w:rPr>
      </w:pPr>
      <w:r w:rsidRPr="00A85FEA">
        <w:rPr>
          <w:rFonts w:cs="Arial"/>
          <w:szCs w:val="22"/>
          <w:lang w:val="es-VE" w:eastAsia="es-CO"/>
        </w:rPr>
        <w:t>Equipos de transporte</w:t>
      </w:r>
    </w:p>
    <w:p w14:paraId="1DB8B297" w14:textId="77777777" w:rsidR="00F53AB1" w:rsidRPr="00A85FEA" w:rsidRDefault="00F53AB1" w:rsidP="00D87929">
      <w:pPr>
        <w:rPr>
          <w:rFonts w:cs="Arial"/>
          <w:szCs w:val="22"/>
          <w:lang w:val="es-VE" w:eastAsia="es-CO"/>
        </w:rPr>
      </w:pPr>
      <w:r w:rsidRPr="00A85FEA">
        <w:rPr>
          <w:rFonts w:cs="Arial"/>
          <w:szCs w:val="22"/>
          <w:lang w:val="es-VE" w:eastAsia="es-CO"/>
        </w:rPr>
        <w:t>Equipo de comedor, cocina y despensa</w:t>
      </w:r>
    </w:p>
    <w:p w14:paraId="51A7F9FC" w14:textId="77777777" w:rsidR="00F53AB1" w:rsidRPr="00A85FEA" w:rsidRDefault="00F53AB1" w:rsidP="00F837B2">
      <w:pPr>
        <w:pStyle w:val="Ttulo1"/>
        <w:rPr>
          <w:rFonts w:ascii="Arial" w:hAnsi="Arial" w:cs="Arial"/>
          <w:color w:val="auto"/>
          <w:sz w:val="22"/>
          <w:szCs w:val="22"/>
        </w:rPr>
      </w:pPr>
      <w:bookmarkStart w:id="103" w:name="_Toc525721399"/>
      <w:r w:rsidRPr="00A85FEA">
        <w:rPr>
          <w:rFonts w:ascii="Arial" w:hAnsi="Arial" w:cs="Arial"/>
          <w:color w:val="auto"/>
          <w:sz w:val="22"/>
          <w:szCs w:val="22"/>
        </w:rPr>
        <w:t>5.4. Política Contable General</w:t>
      </w:r>
      <w:bookmarkEnd w:id="103"/>
    </w:p>
    <w:p w14:paraId="342E1C0D" w14:textId="77777777" w:rsidR="00F53AB1" w:rsidRPr="00A85FEA" w:rsidRDefault="00F53AB1" w:rsidP="00D87929">
      <w:pPr>
        <w:rPr>
          <w:rFonts w:cs="Arial"/>
          <w:szCs w:val="22"/>
        </w:rPr>
      </w:pPr>
    </w:p>
    <w:p w14:paraId="67F700F4" w14:textId="77777777" w:rsidR="00F53AB1" w:rsidRPr="00A85FEA" w:rsidRDefault="00F53AB1" w:rsidP="00694E69">
      <w:pPr>
        <w:jc w:val="both"/>
        <w:rPr>
          <w:rFonts w:eastAsia="Calibri" w:cs="Arial"/>
          <w:szCs w:val="22"/>
        </w:rPr>
      </w:pPr>
      <w:r w:rsidRPr="00A85FEA">
        <w:rPr>
          <w:rFonts w:cs="Arial"/>
          <w:szCs w:val="22"/>
        </w:rPr>
        <w:t>Los elementos de las propiedades, planta y equipo de la Corporación para el Desarrollo Sostenible del Norte y el Oriente Amazónico – CDA</w:t>
      </w:r>
      <w:r w:rsidRPr="00A85FEA">
        <w:rPr>
          <w:rFonts w:eastAsia="Calibri" w:cs="Arial"/>
          <w:szCs w:val="22"/>
        </w:rPr>
        <w:t xml:space="preserve"> son adquiridos mediante proyectos, adquiridos en transacciones sin contraprestación, convenios y adquisiciones directas.</w:t>
      </w:r>
    </w:p>
    <w:p w14:paraId="09EC6F81" w14:textId="77777777" w:rsidR="00F53AB1" w:rsidRPr="00A85FEA" w:rsidRDefault="00F53AB1" w:rsidP="00694E69">
      <w:pPr>
        <w:jc w:val="both"/>
        <w:rPr>
          <w:rFonts w:cs="Arial"/>
          <w:szCs w:val="22"/>
        </w:rPr>
      </w:pPr>
    </w:p>
    <w:p w14:paraId="4E7E59B1" w14:textId="77777777" w:rsidR="00F53AB1" w:rsidRPr="00A85FEA" w:rsidRDefault="00F53AB1" w:rsidP="00694E69">
      <w:pPr>
        <w:jc w:val="both"/>
        <w:rPr>
          <w:rFonts w:cs="Arial"/>
          <w:szCs w:val="22"/>
        </w:rPr>
      </w:pPr>
      <w:r w:rsidRPr="00A85FEA">
        <w:rPr>
          <w:rFonts w:cs="Arial"/>
          <w:szCs w:val="22"/>
        </w:rPr>
        <w:lastRenderedPageBreak/>
        <w:t>Elementos que no clasifican como propiedades, planta y equipos y que se reconocen en el estado de resultados:</w:t>
      </w:r>
    </w:p>
    <w:p w14:paraId="6043AD1F" w14:textId="77777777" w:rsidR="00F53AB1" w:rsidRPr="00A85FEA" w:rsidRDefault="00F53AB1" w:rsidP="00694E69">
      <w:pPr>
        <w:jc w:val="both"/>
        <w:rPr>
          <w:rFonts w:cs="Arial"/>
          <w:szCs w:val="22"/>
        </w:rPr>
      </w:pPr>
    </w:p>
    <w:p w14:paraId="1F556597" w14:textId="77777777" w:rsidR="00F53AB1" w:rsidRPr="00A85FEA" w:rsidRDefault="00F53AB1" w:rsidP="00694E69">
      <w:pPr>
        <w:jc w:val="both"/>
        <w:rPr>
          <w:rFonts w:cs="Arial"/>
          <w:szCs w:val="22"/>
        </w:rPr>
      </w:pPr>
      <w:r w:rsidRPr="00A85FEA">
        <w:rPr>
          <w:rFonts w:cs="Arial"/>
          <w:szCs w:val="22"/>
        </w:rPr>
        <w:t>Los bienes que no se espere utilizar por más de un periodo contable, dado que se consideran como un elemento de consumo, independientemente de la cuantía de la compra individual o global.</w:t>
      </w:r>
    </w:p>
    <w:p w14:paraId="2A2717D7" w14:textId="77777777" w:rsidR="00F53AB1" w:rsidRPr="00A85FEA" w:rsidRDefault="00F53AB1" w:rsidP="00694E69">
      <w:pPr>
        <w:jc w:val="both"/>
        <w:rPr>
          <w:rFonts w:cs="Arial"/>
          <w:szCs w:val="22"/>
        </w:rPr>
      </w:pPr>
      <w:r w:rsidRPr="00A85FEA">
        <w:rPr>
          <w:rFonts w:cs="Arial"/>
          <w:szCs w:val="22"/>
        </w:rPr>
        <w:t xml:space="preserve">Los bienes que se esperen utilizar por más de un periodo, pero el monto de su compra no es material. </w:t>
      </w:r>
    </w:p>
    <w:p w14:paraId="38CA5F9C" w14:textId="77777777" w:rsidR="00F53AB1" w:rsidRPr="00A85FEA" w:rsidRDefault="00F53AB1" w:rsidP="00694E69">
      <w:pPr>
        <w:jc w:val="both"/>
        <w:rPr>
          <w:rFonts w:cs="Arial"/>
          <w:szCs w:val="22"/>
        </w:rPr>
      </w:pPr>
      <w:r w:rsidRPr="00A85FEA">
        <w:rPr>
          <w:rFonts w:cs="Arial"/>
          <w:szCs w:val="22"/>
        </w:rPr>
        <w:t>Los bienes que se espera utilizar por más de un periodo, su cuantía es significativa, pero no se espera recibir beneficios económicos de ellos.</w:t>
      </w:r>
    </w:p>
    <w:p w14:paraId="46C2A89B" w14:textId="77777777" w:rsidR="00F53AB1" w:rsidRPr="00A85FEA" w:rsidRDefault="00F53AB1" w:rsidP="00694E69">
      <w:pPr>
        <w:jc w:val="both"/>
        <w:rPr>
          <w:rFonts w:cs="Arial"/>
          <w:szCs w:val="22"/>
          <w:lang w:val="es-ES"/>
        </w:rPr>
      </w:pPr>
    </w:p>
    <w:p w14:paraId="34CB2058" w14:textId="77777777" w:rsidR="00F53AB1" w:rsidRPr="00A85FEA" w:rsidRDefault="00F53AB1" w:rsidP="00694E69">
      <w:pPr>
        <w:jc w:val="both"/>
        <w:rPr>
          <w:rFonts w:cs="Arial"/>
          <w:szCs w:val="22"/>
        </w:rPr>
      </w:pPr>
      <w:r w:rsidRPr="00A85FEA">
        <w:rPr>
          <w:rFonts w:cs="Arial"/>
          <w:szCs w:val="22"/>
        </w:rPr>
        <w:t xml:space="preserve">Los elementos </w:t>
      </w:r>
      <w:r w:rsidRPr="00A85FEA">
        <w:rPr>
          <w:rFonts w:cs="Arial"/>
          <w:spacing w:val="1"/>
          <w:szCs w:val="22"/>
        </w:rPr>
        <w:t>d</w:t>
      </w:r>
      <w:r w:rsidRPr="00A85FEA">
        <w:rPr>
          <w:rFonts w:cs="Arial"/>
          <w:szCs w:val="22"/>
        </w:rPr>
        <w:t>e cons</w:t>
      </w:r>
      <w:r w:rsidRPr="00A85FEA">
        <w:rPr>
          <w:rFonts w:cs="Arial"/>
          <w:spacing w:val="-1"/>
          <w:szCs w:val="22"/>
        </w:rPr>
        <w:t>u</w:t>
      </w:r>
      <w:r w:rsidRPr="00A85FEA">
        <w:rPr>
          <w:rFonts w:cs="Arial"/>
          <w:szCs w:val="22"/>
        </w:rPr>
        <w:t>mo</w:t>
      </w:r>
      <w:r w:rsidRPr="00A85FEA">
        <w:rPr>
          <w:rFonts w:cs="Arial"/>
          <w:spacing w:val="1"/>
          <w:szCs w:val="22"/>
        </w:rPr>
        <w:t xml:space="preserve"> </w:t>
      </w:r>
      <w:r w:rsidRPr="00A85FEA">
        <w:rPr>
          <w:rFonts w:cs="Arial"/>
          <w:szCs w:val="22"/>
        </w:rPr>
        <w:t>se registran</w:t>
      </w:r>
      <w:r w:rsidRPr="00A85FEA">
        <w:rPr>
          <w:rFonts w:cs="Arial"/>
          <w:spacing w:val="3"/>
          <w:szCs w:val="22"/>
        </w:rPr>
        <w:t xml:space="preserve"> </w:t>
      </w:r>
      <w:r w:rsidRPr="00A85FEA">
        <w:rPr>
          <w:rFonts w:cs="Arial"/>
          <w:szCs w:val="22"/>
        </w:rPr>
        <w:t>al gasto;</w:t>
      </w:r>
      <w:r w:rsidRPr="00A85FEA">
        <w:rPr>
          <w:rFonts w:cs="Arial"/>
          <w:spacing w:val="1"/>
          <w:szCs w:val="22"/>
        </w:rPr>
        <w:t xml:space="preserve"> </w:t>
      </w:r>
      <w:r w:rsidRPr="00A85FEA">
        <w:rPr>
          <w:rFonts w:cs="Arial"/>
          <w:szCs w:val="22"/>
        </w:rPr>
        <w:t>así</w:t>
      </w:r>
      <w:r w:rsidRPr="00A85FEA">
        <w:rPr>
          <w:rFonts w:cs="Arial"/>
          <w:spacing w:val="1"/>
          <w:szCs w:val="22"/>
        </w:rPr>
        <w:t xml:space="preserve"> </w:t>
      </w:r>
      <w:r w:rsidRPr="00A85FEA">
        <w:rPr>
          <w:rFonts w:cs="Arial"/>
          <w:szCs w:val="22"/>
        </w:rPr>
        <w:t>l</w:t>
      </w:r>
      <w:r w:rsidRPr="00A85FEA">
        <w:rPr>
          <w:rFonts w:cs="Arial"/>
          <w:spacing w:val="-1"/>
          <w:szCs w:val="22"/>
        </w:rPr>
        <w:t>a</w:t>
      </w:r>
      <w:r w:rsidRPr="00A85FEA">
        <w:rPr>
          <w:rFonts w:cs="Arial"/>
          <w:szCs w:val="22"/>
        </w:rPr>
        <w:t>s</w:t>
      </w:r>
      <w:r w:rsidRPr="00A85FEA">
        <w:rPr>
          <w:rFonts w:cs="Arial"/>
          <w:spacing w:val="1"/>
          <w:szCs w:val="22"/>
        </w:rPr>
        <w:t xml:space="preserve"> </w:t>
      </w:r>
      <w:r w:rsidRPr="00A85FEA">
        <w:rPr>
          <w:rFonts w:cs="Arial"/>
          <w:szCs w:val="22"/>
        </w:rPr>
        <w:t>cosas,</w:t>
      </w:r>
      <w:r w:rsidRPr="00A85FEA">
        <w:rPr>
          <w:rFonts w:cs="Arial"/>
          <w:spacing w:val="5"/>
          <w:szCs w:val="22"/>
        </w:rPr>
        <w:t xml:space="preserve"> </w:t>
      </w:r>
      <w:r w:rsidRPr="00A85FEA">
        <w:rPr>
          <w:rFonts w:cs="Arial"/>
          <w:szCs w:val="22"/>
        </w:rPr>
        <w:t>en l</w:t>
      </w:r>
      <w:r w:rsidRPr="00A85FEA">
        <w:rPr>
          <w:rFonts w:cs="Arial"/>
          <w:spacing w:val="-1"/>
          <w:szCs w:val="22"/>
        </w:rPr>
        <w:t>o</w:t>
      </w:r>
      <w:r w:rsidRPr="00A85FEA">
        <w:rPr>
          <w:rFonts w:cs="Arial"/>
          <w:szCs w:val="22"/>
        </w:rPr>
        <w:t>s Estad</w:t>
      </w:r>
      <w:r w:rsidRPr="00A85FEA">
        <w:rPr>
          <w:rFonts w:cs="Arial"/>
          <w:spacing w:val="-1"/>
          <w:szCs w:val="22"/>
        </w:rPr>
        <w:t>o</w:t>
      </w:r>
      <w:r w:rsidRPr="00A85FEA">
        <w:rPr>
          <w:rFonts w:cs="Arial"/>
          <w:szCs w:val="22"/>
        </w:rPr>
        <w:t>s Fi</w:t>
      </w:r>
      <w:r w:rsidRPr="00A85FEA">
        <w:rPr>
          <w:rFonts w:cs="Arial"/>
          <w:spacing w:val="-1"/>
          <w:szCs w:val="22"/>
        </w:rPr>
        <w:t>n</w:t>
      </w:r>
      <w:r w:rsidRPr="00A85FEA">
        <w:rPr>
          <w:rFonts w:cs="Arial"/>
          <w:szCs w:val="22"/>
        </w:rPr>
        <w:t>ancieros del CDA l</w:t>
      </w:r>
      <w:r w:rsidRPr="00A85FEA">
        <w:rPr>
          <w:rFonts w:cs="Arial"/>
          <w:spacing w:val="-1"/>
          <w:szCs w:val="22"/>
        </w:rPr>
        <w:t>a</w:t>
      </w:r>
      <w:r w:rsidRPr="00A85FEA">
        <w:rPr>
          <w:rFonts w:cs="Arial"/>
          <w:szCs w:val="22"/>
        </w:rPr>
        <w:t>s compras de b</w:t>
      </w:r>
      <w:r w:rsidRPr="00A85FEA">
        <w:rPr>
          <w:rFonts w:cs="Arial"/>
          <w:spacing w:val="-1"/>
          <w:szCs w:val="22"/>
        </w:rPr>
        <w:t>i</w:t>
      </w:r>
      <w:r w:rsidRPr="00A85FEA">
        <w:rPr>
          <w:rFonts w:cs="Arial"/>
          <w:szCs w:val="22"/>
        </w:rPr>
        <w:t>en</w:t>
      </w:r>
      <w:r w:rsidRPr="00A85FEA">
        <w:rPr>
          <w:rFonts w:cs="Arial"/>
          <w:spacing w:val="-1"/>
          <w:szCs w:val="22"/>
        </w:rPr>
        <w:t>e</w:t>
      </w:r>
      <w:r w:rsidRPr="00A85FEA">
        <w:rPr>
          <w:rFonts w:cs="Arial"/>
          <w:szCs w:val="22"/>
        </w:rPr>
        <w:t>s,</w:t>
      </w:r>
      <w:r w:rsidRPr="00A85FEA">
        <w:rPr>
          <w:rFonts w:cs="Arial"/>
          <w:spacing w:val="1"/>
          <w:szCs w:val="22"/>
        </w:rPr>
        <w:t xml:space="preserve"> </w:t>
      </w:r>
      <w:r w:rsidRPr="00A85FEA">
        <w:rPr>
          <w:rFonts w:cs="Arial"/>
          <w:szCs w:val="22"/>
        </w:rPr>
        <w:t>cl</w:t>
      </w:r>
      <w:r w:rsidRPr="00A85FEA">
        <w:rPr>
          <w:rFonts w:cs="Arial"/>
          <w:spacing w:val="-1"/>
          <w:szCs w:val="22"/>
        </w:rPr>
        <w:t>a</w:t>
      </w:r>
      <w:r w:rsidRPr="00A85FEA">
        <w:rPr>
          <w:rFonts w:cs="Arial"/>
          <w:szCs w:val="22"/>
        </w:rPr>
        <w:t>sificad</w:t>
      </w:r>
      <w:r w:rsidRPr="00A85FEA">
        <w:rPr>
          <w:rFonts w:cs="Arial"/>
          <w:spacing w:val="-1"/>
          <w:szCs w:val="22"/>
        </w:rPr>
        <w:t>a</w:t>
      </w:r>
      <w:r w:rsidRPr="00A85FEA">
        <w:rPr>
          <w:rFonts w:cs="Arial"/>
          <w:szCs w:val="22"/>
        </w:rPr>
        <w:t xml:space="preserve">s como </w:t>
      </w:r>
      <w:r w:rsidRPr="00A85FEA">
        <w:rPr>
          <w:rFonts w:cs="Arial"/>
          <w:spacing w:val="-1"/>
          <w:szCs w:val="22"/>
        </w:rPr>
        <w:t>c</w:t>
      </w:r>
      <w:r w:rsidRPr="00A85FEA">
        <w:rPr>
          <w:rFonts w:cs="Arial"/>
          <w:szCs w:val="22"/>
        </w:rPr>
        <w:t>onsumo,</w:t>
      </w:r>
      <w:r w:rsidRPr="00A85FEA">
        <w:rPr>
          <w:rFonts w:cs="Arial"/>
          <w:spacing w:val="2"/>
          <w:szCs w:val="22"/>
        </w:rPr>
        <w:t xml:space="preserve"> </w:t>
      </w:r>
      <w:r w:rsidRPr="00A85FEA">
        <w:rPr>
          <w:rFonts w:cs="Arial"/>
          <w:szCs w:val="22"/>
        </w:rPr>
        <w:t>se</w:t>
      </w:r>
      <w:r w:rsidRPr="00A85FEA">
        <w:rPr>
          <w:rFonts w:cs="Arial"/>
          <w:spacing w:val="1"/>
          <w:szCs w:val="22"/>
        </w:rPr>
        <w:t xml:space="preserve"> </w:t>
      </w:r>
      <w:r w:rsidRPr="00A85FEA">
        <w:rPr>
          <w:rFonts w:cs="Arial"/>
          <w:szCs w:val="22"/>
        </w:rPr>
        <w:t>l</w:t>
      </w:r>
      <w:r w:rsidRPr="00A85FEA">
        <w:rPr>
          <w:rFonts w:cs="Arial"/>
          <w:spacing w:val="-1"/>
          <w:szCs w:val="22"/>
        </w:rPr>
        <w:t>l</w:t>
      </w:r>
      <w:r w:rsidRPr="00A85FEA">
        <w:rPr>
          <w:rFonts w:cs="Arial"/>
          <w:szCs w:val="22"/>
        </w:rPr>
        <w:t>evaran</w:t>
      </w:r>
      <w:r w:rsidRPr="00A85FEA">
        <w:rPr>
          <w:rFonts w:cs="Arial"/>
          <w:spacing w:val="1"/>
          <w:szCs w:val="22"/>
        </w:rPr>
        <w:t xml:space="preserve"> </w:t>
      </w:r>
      <w:r w:rsidRPr="00A85FEA">
        <w:rPr>
          <w:rFonts w:cs="Arial"/>
          <w:szCs w:val="22"/>
        </w:rPr>
        <w:t>di</w:t>
      </w:r>
      <w:r w:rsidRPr="00A85FEA">
        <w:rPr>
          <w:rFonts w:cs="Arial"/>
          <w:spacing w:val="1"/>
          <w:szCs w:val="22"/>
        </w:rPr>
        <w:t>r</w:t>
      </w:r>
      <w:r w:rsidRPr="00A85FEA">
        <w:rPr>
          <w:rFonts w:cs="Arial"/>
          <w:szCs w:val="22"/>
        </w:rPr>
        <w:t>ectamente</w:t>
      </w:r>
      <w:r w:rsidRPr="00A85FEA">
        <w:rPr>
          <w:rFonts w:cs="Arial"/>
          <w:spacing w:val="2"/>
          <w:szCs w:val="22"/>
        </w:rPr>
        <w:t xml:space="preserve"> </w:t>
      </w:r>
      <w:r w:rsidRPr="00A85FEA">
        <w:rPr>
          <w:rFonts w:cs="Arial"/>
          <w:spacing w:val="-1"/>
          <w:szCs w:val="22"/>
        </w:rPr>
        <w:t>a</w:t>
      </w:r>
      <w:r w:rsidRPr="00A85FEA">
        <w:rPr>
          <w:rFonts w:cs="Arial"/>
          <w:szCs w:val="22"/>
        </w:rPr>
        <w:t>l</w:t>
      </w:r>
      <w:r w:rsidRPr="00A85FEA">
        <w:rPr>
          <w:rFonts w:cs="Arial"/>
          <w:spacing w:val="1"/>
          <w:szCs w:val="22"/>
        </w:rPr>
        <w:t xml:space="preserve"> </w:t>
      </w:r>
      <w:r w:rsidRPr="00A85FEA">
        <w:rPr>
          <w:rFonts w:cs="Arial"/>
          <w:szCs w:val="22"/>
        </w:rPr>
        <w:t>gasto.</w:t>
      </w:r>
      <w:r w:rsidRPr="00A85FEA">
        <w:rPr>
          <w:rFonts w:cs="Arial"/>
          <w:spacing w:val="4"/>
          <w:szCs w:val="22"/>
        </w:rPr>
        <w:t xml:space="preserve"> </w:t>
      </w:r>
    </w:p>
    <w:p w14:paraId="6FA4A83B" w14:textId="77777777" w:rsidR="00F53AB1" w:rsidRPr="00A85FEA" w:rsidRDefault="00F53AB1" w:rsidP="00F837B2">
      <w:pPr>
        <w:pStyle w:val="Ttulo1"/>
        <w:rPr>
          <w:rFonts w:ascii="Arial" w:hAnsi="Arial" w:cs="Arial"/>
          <w:color w:val="auto"/>
          <w:sz w:val="22"/>
          <w:szCs w:val="22"/>
        </w:rPr>
      </w:pPr>
      <w:bookmarkStart w:id="104" w:name="_Toc525721400"/>
      <w:r w:rsidRPr="00A85FEA">
        <w:rPr>
          <w:rFonts w:ascii="Arial" w:hAnsi="Arial" w:cs="Arial"/>
          <w:color w:val="auto"/>
          <w:sz w:val="22"/>
          <w:szCs w:val="22"/>
        </w:rPr>
        <w:t>5.5. Reconocimiento</w:t>
      </w:r>
      <w:bookmarkEnd w:id="104"/>
    </w:p>
    <w:p w14:paraId="1AD6DE97" w14:textId="77777777" w:rsidR="00F53AB1" w:rsidRPr="00A85FEA" w:rsidRDefault="00F53AB1" w:rsidP="00D87929">
      <w:pPr>
        <w:rPr>
          <w:rFonts w:cs="Arial"/>
          <w:szCs w:val="22"/>
        </w:rPr>
      </w:pPr>
    </w:p>
    <w:p w14:paraId="402603C6" w14:textId="77777777" w:rsidR="00F53AB1" w:rsidRPr="00A85FEA" w:rsidRDefault="00F53AB1" w:rsidP="00694E69">
      <w:pPr>
        <w:jc w:val="both"/>
        <w:rPr>
          <w:rFonts w:cs="Arial"/>
          <w:szCs w:val="22"/>
        </w:rPr>
      </w:pPr>
      <w:r w:rsidRPr="00A85FEA">
        <w:rPr>
          <w:rFonts w:cs="Arial"/>
          <w:szCs w:val="22"/>
        </w:rPr>
        <w:t>La Corporación para el Desarrollo Sostenible del Norte y el Oriente Amazónico – CDA reconocerá como activos del grupo de propiedades, planta y equipo:</w:t>
      </w:r>
    </w:p>
    <w:p w14:paraId="0D6B9042" w14:textId="77777777" w:rsidR="00F53AB1" w:rsidRPr="00A85FEA" w:rsidRDefault="00F53AB1" w:rsidP="00694E69">
      <w:pPr>
        <w:jc w:val="both"/>
        <w:rPr>
          <w:rFonts w:cs="Arial"/>
          <w:szCs w:val="22"/>
        </w:rPr>
      </w:pPr>
    </w:p>
    <w:p w14:paraId="7289F8D5" w14:textId="77777777" w:rsidR="00F53AB1" w:rsidRPr="00A85FEA" w:rsidRDefault="00694E69" w:rsidP="00694E69">
      <w:pPr>
        <w:jc w:val="both"/>
        <w:rPr>
          <w:rFonts w:cs="Arial"/>
          <w:szCs w:val="22"/>
        </w:rPr>
      </w:pPr>
      <w:r>
        <w:rPr>
          <w:rFonts w:cs="Arial"/>
          <w:szCs w:val="22"/>
        </w:rPr>
        <w:t>L</w:t>
      </w:r>
      <w:r w:rsidR="00F53AB1" w:rsidRPr="00A85FEA">
        <w:rPr>
          <w:rFonts w:cs="Arial"/>
          <w:szCs w:val="22"/>
        </w:rPr>
        <w:t>os activos tangibles empleados por la entidad para la producción o suministro de bienes, para la prestación de servicios y para propósitos administrativos;</w:t>
      </w:r>
    </w:p>
    <w:p w14:paraId="321C00CF" w14:textId="77777777" w:rsidR="00F53AB1" w:rsidRPr="00A85FEA" w:rsidRDefault="00F837B2" w:rsidP="00694E69">
      <w:pPr>
        <w:jc w:val="both"/>
        <w:rPr>
          <w:rFonts w:cs="Arial"/>
          <w:szCs w:val="22"/>
        </w:rPr>
      </w:pPr>
      <w:r w:rsidRPr="00A85FEA">
        <w:rPr>
          <w:rFonts w:cs="Arial"/>
          <w:szCs w:val="22"/>
        </w:rPr>
        <w:t>Los</w:t>
      </w:r>
      <w:r w:rsidR="00F53AB1" w:rsidRPr="00A85FEA">
        <w:rPr>
          <w:rFonts w:cs="Arial"/>
          <w:szCs w:val="22"/>
        </w:rPr>
        <w:t xml:space="preserve"> bienes muebles que se tengan para generar ingresos producto de su arrendamiento; y </w:t>
      </w:r>
    </w:p>
    <w:p w14:paraId="7757E1BC" w14:textId="77777777" w:rsidR="00F53AB1" w:rsidRPr="00A85FEA" w:rsidRDefault="00F837B2" w:rsidP="00F837B2">
      <w:pPr>
        <w:jc w:val="both"/>
        <w:rPr>
          <w:rFonts w:cs="Arial"/>
          <w:szCs w:val="22"/>
        </w:rPr>
      </w:pPr>
      <w:r w:rsidRPr="00A85FEA">
        <w:rPr>
          <w:rFonts w:cs="Arial"/>
          <w:szCs w:val="22"/>
        </w:rPr>
        <w:t>Los</w:t>
      </w:r>
      <w:r w:rsidR="00F53AB1" w:rsidRPr="00A85FEA">
        <w:rPr>
          <w:rFonts w:cs="Arial"/>
          <w:szCs w:val="22"/>
        </w:rPr>
        <w:t xml:space="preserve"> bienes inmuebles arrendados por un valor inferior al valor de mercado del arrendamiento. </w:t>
      </w:r>
    </w:p>
    <w:p w14:paraId="017BCFA7" w14:textId="77777777" w:rsidR="00F53AB1" w:rsidRPr="00A85FEA" w:rsidRDefault="00F53AB1" w:rsidP="00F837B2">
      <w:pPr>
        <w:jc w:val="both"/>
        <w:rPr>
          <w:rFonts w:cs="Arial"/>
          <w:szCs w:val="22"/>
        </w:rPr>
      </w:pPr>
    </w:p>
    <w:p w14:paraId="05D9F1F1" w14:textId="77777777" w:rsidR="00F53AB1" w:rsidRPr="00A85FEA" w:rsidRDefault="00F53AB1" w:rsidP="00F837B2">
      <w:pPr>
        <w:jc w:val="both"/>
        <w:rPr>
          <w:rFonts w:cs="Arial"/>
          <w:szCs w:val="22"/>
        </w:rPr>
      </w:pPr>
      <w:r w:rsidRPr="00A85FEA">
        <w:rPr>
          <w:rFonts w:cs="Arial"/>
          <w:szCs w:val="22"/>
        </w:rPr>
        <w:t>También se reconocerán como propiedades planta y equipo, los bienes inmuebles con uso futuro indeterminado</w:t>
      </w:r>
    </w:p>
    <w:p w14:paraId="15236DD7" w14:textId="77777777" w:rsidR="00F53AB1" w:rsidRPr="00A85FEA" w:rsidRDefault="00F53AB1" w:rsidP="00F837B2">
      <w:pPr>
        <w:jc w:val="both"/>
        <w:rPr>
          <w:rFonts w:cs="Arial"/>
          <w:szCs w:val="22"/>
        </w:rPr>
      </w:pPr>
    </w:p>
    <w:p w14:paraId="0B39946D" w14:textId="77777777" w:rsidR="00F53AB1" w:rsidRPr="00A85FEA" w:rsidRDefault="00F53AB1" w:rsidP="00F837B2">
      <w:pPr>
        <w:jc w:val="both"/>
        <w:rPr>
          <w:rFonts w:cs="Arial"/>
          <w:szCs w:val="22"/>
        </w:rPr>
      </w:pPr>
      <w:r w:rsidRPr="00A85FEA">
        <w:rPr>
          <w:rFonts w:cs="Arial"/>
          <w:szCs w:val="22"/>
        </w:rPr>
        <w:t>Estos activos se caracterizan porque no se espera venderlos en el curso de las actividades ordinarias de la entidad y se prevé usarlos durante más de un periodo contable.</w:t>
      </w:r>
    </w:p>
    <w:p w14:paraId="3AFFE076" w14:textId="77777777" w:rsidR="00F53AB1" w:rsidRPr="00A85FEA" w:rsidRDefault="00F53AB1" w:rsidP="00F837B2">
      <w:pPr>
        <w:jc w:val="both"/>
        <w:rPr>
          <w:rFonts w:cs="Arial"/>
          <w:szCs w:val="22"/>
        </w:rPr>
      </w:pPr>
    </w:p>
    <w:p w14:paraId="0552EA1D" w14:textId="77777777" w:rsidR="00F53AB1" w:rsidRPr="00A85FEA" w:rsidRDefault="00F53AB1" w:rsidP="00F837B2">
      <w:pPr>
        <w:jc w:val="both"/>
        <w:rPr>
          <w:rFonts w:cs="Arial"/>
          <w:szCs w:val="22"/>
        </w:rPr>
      </w:pPr>
      <w:r w:rsidRPr="00A85FEA">
        <w:rPr>
          <w:rFonts w:cs="Arial"/>
          <w:szCs w:val="22"/>
        </w:rPr>
        <w:t>La Corporación para el Desarrollo Sostenible del Norte y el Oriente Amazónico – CDA reconocerá en sus estados financieros un activo por componentes si las partes que lo constituyen presentan un grado de desgaste diferente y/o una vida útil diferente de las demás.</w:t>
      </w:r>
    </w:p>
    <w:p w14:paraId="58EC1F05" w14:textId="77777777" w:rsidR="00F53AB1" w:rsidRPr="00A85FEA" w:rsidRDefault="00F53AB1" w:rsidP="00D87929">
      <w:pPr>
        <w:rPr>
          <w:rFonts w:cs="Arial"/>
          <w:szCs w:val="22"/>
        </w:rPr>
      </w:pPr>
    </w:p>
    <w:p w14:paraId="756EDD67" w14:textId="77777777" w:rsidR="00F53AB1" w:rsidRPr="00A85FEA" w:rsidRDefault="00F53AB1" w:rsidP="00F837B2">
      <w:pPr>
        <w:jc w:val="both"/>
        <w:rPr>
          <w:rFonts w:cs="Arial"/>
          <w:szCs w:val="22"/>
        </w:rPr>
      </w:pPr>
      <w:r w:rsidRPr="00A85FEA">
        <w:rPr>
          <w:rFonts w:cs="Arial"/>
          <w:szCs w:val="22"/>
        </w:rPr>
        <w:t>Los terrenos sobre los que se construyan las propiedades, planta y equipo se reconocerán por separado.</w:t>
      </w:r>
    </w:p>
    <w:p w14:paraId="3930A969" w14:textId="77777777" w:rsidR="00F53AB1" w:rsidRPr="00A85FEA" w:rsidRDefault="00F53AB1" w:rsidP="00F837B2">
      <w:pPr>
        <w:jc w:val="both"/>
        <w:rPr>
          <w:rFonts w:cs="Arial"/>
          <w:szCs w:val="22"/>
        </w:rPr>
      </w:pPr>
    </w:p>
    <w:p w14:paraId="1ADFF7B0" w14:textId="77777777" w:rsidR="00F53AB1" w:rsidRPr="00A85FEA" w:rsidRDefault="00F53AB1" w:rsidP="00F837B2">
      <w:pPr>
        <w:jc w:val="both"/>
        <w:rPr>
          <w:rFonts w:cs="Arial"/>
          <w:i/>
          <w:szCs w:val="22"/>
        </w:rPr>
      </w:pPr>
      <w:r w:rsidRPr="00A85FEA">
        <w:rPr>
          <w:rFonts w:cs="Arial"/>
          <w:i/>
          <w:szCs w:val="22"/>
        </w:rPr>
        <w:lastRenderedPageBreak/>
        <w:t xml:space="preserve">La Corporación para el Desarrollo Sostenible del Norte y el Oriente Amazónico – CDA ha definido como política contable que reconocerá como Propiedad Planta y Equipo los activos que cumplan con el siguiente criterio materialidad: </w:t>
      </w:r>
      <w:r w:rsidRPr="00A85FEA">
        <w:rPr>
          <w:rFonts w:cs="Arial"/>
          <w:i/>
          <w:szCs w:val="22"/>
          <w:lang w:val="es-ES"/>
        </w:rPr>
        <w:t>Que su valor individual o en conjunto para bienes de las mismas características superen un salario mínimo mensual legal vigente (1 SMMLV).</w:t>
      </w:r>
    </w:p>
    <w:p w14:paraId="1D2DECE9" w14:textId="77777777" w:rsidR="00F53AB1" w:rsidRPr="00A85FEA" w:rsidRDefault="00F53AB1" w:rsidP="00F837B2">
      <w:pPr>
        <w:jc w:val="both"/>
        <w:rPr>
          <w:rFonts w:cs="Arial"/>
          <w:i/>
          <w:szCs w:val="22"/>
        </w:rPr>
      </w:pPr>
    </w:p>
    <w:p w14:paraId="05E6758C" w14:textId="77777777" w:rsidR="00F53AB1" w:rsidRPr="00A85FEA" w:rsidRDefault="00F53AB1" w:rsidP="00F837B2">
      <w:pPr>
        <w:jc w:val="both"/>
        <w:rPr>
          <w:rFonts w:cs="Arial"/>
          <w:i/>
          <w:szCs w:val="22"/>
        </w:rPr>
      </w:pPr>
      <w:r w:rsidRPr="00A85FEA">
        <w:rPr>
          <w:rFonts w:cs="Arial"/>
          <w:i/>
          <w:szCs w:val="22"/>
        </w:rPr>
        <w:t>La Corporación para el Desarrollo Sostenible del Norte y el Oriente Amazónico – CDA define en su política de propiedades, planta y equipo, para los equipos clasificados como equipo de computación que las licencias de software Office y demás software necesarios para el funcionamiento del equipo, harán parte del costo del mismo, siempre y cuando esas licencias no se puedan utilizar en otro equipo.</w:t>
      </w:r>
    </w:p>
    <w:p w14:paraId="75383999" w14:textId="77777777" w:rsidR="00F53AB1" w:rsidRPr="00A85FEA" w:rsidRDefault="00F53AB1" w:rsidP="00F837B2">
      <w:pPr>
        <w:jc w:val="both"/>
        <w:rPr>
          <w:rFonts w:cs="Arial"/>
          <w:i/>
          <w:szCs w:val="22"/>
        </w:rPr>
      </w:pPr>
    </w:p>
    <w:p w14:paraId="09069633" w14:textId="77777777" w:rsidR="00F53AB1" w:rsidRPr="00A85FEA" w:rsidRDefault="00F53AB1" w:rsidP="00D87929">
      <w:pPr>
        <w:rPr>
          <w:rFonts w:cs="Arial"/>
          <w:szCs w:val="22"/>
        </w:rPr>
      </w:pPr>
      <w:r w:rsidRPr="00A85FEA">
        <w:rPr>
          <w:rFonts w:cs="Arial"/>
          <w:szCs w:val="22"/>
        </w:rPr>
        <w:t>5.5.1. Adiciones y mejoras</w:t>
      </w:r>
    </w:p>
    <w:p w14:paraId="5CBCE07E" w14:textId="77777777" w:rsidR="00F53AB1" w:rsidRPr="00A85FEA" w:rsidRDefault="00F53AB1" w:rsidP="00D87929">
      <w:pPr>
        <w:rPr>
          <w:rFonts w:cs="Arial"/>
          <w:szCs w:val="22"/>
        </w:rPr>
      </w:pPr>
    </w:p>
    <w:p w14:paraId="54FD23EE" w14:textId="77777777" w:rsidR="00F53AB1" w:rsidRPr="00A85FEA" w:rsidRDefault="00F53AB1" w:rsidP="00694E69">
      <w:pPr>
        <w:jc w:val="both"/>
        <w:rPr>
          <w:rFonts w:cs="Arial"/>
          <w:szCs w:val="22"/>
        </w:rPr>
      </w:pPr>
      <w:r w:rsidRPr="00A85FEA">
        <w:rPr>
          <w:rFonts w:cs="Arial"/>
          <w:szCs w:val="22"/>
        </w:rPr>
        <w:t xml:space="preserve">Las adiciones y mejoras efectuadas a una propiedad, planta y equipo se reconocerán como mayor valor de esta y, en consecuencia, afectarán el cálculo futuro de la depreciación. Las adiciones y mejoras son erogaciones en que incurre la empresa para aumentar la vida útil del activo, ampliar su capacidad productiva y eficiencia operativa, mejorar la calidad de los productos y servicios, o reducir significativamente los costos. </w:t>
      </w:r>
    </w:p>
    <w:p w14:paraId="0E58395B" w14:textId="77777777" w:rsidR="00F53AB1" w:rsidRPr="00A85FEA" w:rsidRDefault="00F53AB1" w:rsidP="00D87929">
      <w:pPr>
        <w:rPr>
          <w:rFonts w:cs="Arial"/>
          <w:szCs w:val="22"/>
        </w:rPr>
      </w:pPr>
    </w:p>
    <w:p w14:paraId="699D0E01" w14:textId="77777777" w:rsidR="00F53AB1" w:rsidRPr="00A85FEA" w:rsidRDefault="00F53AB1" w:rsidP="00D87929">
      <w:pPr>
        <w:rPr>
          <w:rFonts w:cs="Arial"/>
          <w:szCs w:val="22"/>
        </w:rPr>
      </w:pPr>
      <w:r w:rsidRPr="00A85FEA">
        <w:rPr>
          <w:rFonts w:cs="Arial"/>
          <w:szCs w:val="22"/>
        </w:rPr>
        <w:t>5.5.2. Mantenimientos y reparaciones</w:t>
      </w:r>
    </w:p>
    <w:p w14:paraId="492F342C" w14:textId="77777777" w:rsidR="00F53AB1" w:rsidRPr="00A85FEA" w:rsidRDefault="00F53AB1" w:rsidP="00D87929">
      <w:pPr>
        <w:rPr>
          <w:rFonts w:cs="Arial"/>
          <w:szCs w:val="22"/>
        </w:rPr>
      </w:pPr>
    </w:p>
    <w:p w14:paraId="32F166D5" w14:textId="77777777" w:rsidR="00F53AB1" w:rsidRPr="00A85FEA" w:rsidRDefault="00F53AB1" w:rsidP="0050647F">
      <w:pPr>
        <w:jc w:val="both"/>
        <w:rPr>
          <w:rFonts w:cs="Arial"/>
          <w:szCs w:val="22"/>
        </w:rPr>
      </w:pPr>
      <w:r w:rsidRPr="00A85FEA">
        <w:rPr>
          <w:rFonts w:cs="Arial"/>
          <w:szCs w:val="22"/>
        </w:rPr>
        <w:t>Por su parte, las reparaciones de las propiedades, planta y equipo se reconocerán como gasto en el resultado del periodo. Las reparaciones son erogaciones en que incurre la empresa con el fin de recuperar la capacidad normal de uso del activo. El mantenimiento de las propiedades, planta y equipo se reconocerá como gasto en el resultado del periodo. El mantenimiento corresponde a erogaciones en que incurre la empresa con el fin de conservar la capacidad normal de uso del activo.</w:t>
      </w:r>
    </w:p>
    <w:p w14:paraId="7202D3F7" w14:textId="77777777" w:rsidR="00F53AB1" w:rsidRPr="00A85FEA" w:rsidRDefault="00F53AB1" w:rsidP="00F837B2">
      <w:pPr>
        <w:pStyle w:val="Ttulo1"/>
        <w:rPr>
          <w:rFonts w:ascii="Arial" w:hAnsi="Arial" w:cs="Arial"/>
          <w:color w:val="auto"/>
          <w:sz w:val="22"/>
          <w:szCs w:val="22"/>
        </w:rPr>
      </w:pPr>
      <w:bookmarkStart w:id="105" w:name="_Toc525721401"/>
      <w:r w:rsidRPr="00A85FEA">
        <w:rPr>
          <w:rFonts w:ascii="Arial" w:hAnsi="Arial" w:cs="Arial"/>
          <w:color w:val="auto"/>
          <w:sz w:val="22"/>
          <w:szCs w:val="22"/>
        </w:rPr>
        <w:t>5.6. Medición inicial</w:t>
      </w:r>
      <w:bookmarkEnd w:id="105"/>
    </w:p>
    <w:p w14:paraId="718A9BB8" w14:textId="77777777" w:rsidR="00F53AB1" w:rsidRPr="00A85FEA" w:rsidRDefault="00F53AB1" w:rsidP="00D87929">
      <w:pPr>
        <w:rPr>
          <w:rFonts w:cs="Arial"/>
          <w:szCs w:val="22"/>
        </w:rPr>
      </w:pPr>
    </w:p>
    <w:p w14:paraId="6D84DEBF" w14:textId="77777777" w:rsidR="0050647F" w:rsidRPr="00A85FEA" w:rsidRDefault="00F53AB1" w:rsidP="0050647F">
      <w:pPr>
        <w:jc w:val="both"/>
        <w:rPr>
          <w:rFonts w:cs="Arial"/>
          <w:szCs w:val="22"/>
        </w:rPr>
      </w:pPr>
      <w:r w:rsidRPr="00A85FEA">
        <w:rPr>
          <w:rFonts w:cs="Arial"/>
          <w:szCs w:val="22"/>
        </w:rPr>
        <w:t xml:space="preserve">Las propiedades, planta y equipo se medirán por el costo, el cual comprende, entre otros, los siguientes conceptos: </w:t>
      </w:r>
    </w:p>
    <w:p w14:paraId="1D623DCD" w14:textId="77777777" w:rsidR="0050647F" w:rsidRPr="00A85FEA" w:rsidRDefault="0050647F" w:rsidP="0050647F">
      <w:pPr>
        <w:jc w:val="both"/>
        <w:rPr>
          <w:rFonts w:cs="Arial"/>
          <w:szCs w:val="22"/>
        </w:rPr>
      </w:pPr>
    </w:p>
    <w:p w14:paraId="5CE9910D" w14:textId="77777777" w:rsidR="00F53AB1" w:rsidRPr="00A85FEA" w:rsidRDefault="0050647F" w:rsidP="0050647F">
      <w:pPr>
        <w:jc w:val="both"/>
        <w:rPr>
          <w:rFonts w:cs="Arial"/>
          <w:szCs w:val="22"/>
        </w:rPr>
      </w:pPr>
      <w:r w:rsidRPr="00A85FEA">
        <w:rPr>
          <w:rFonts w:cs="Arial"/>
          <w:szCs w:val="22"/>
        </w:rPr>
        <w:t>El</w:t>
      </w:r>
      <w:r w:rsidR="00F53AB1" w:rsidRPr="00A85FEA">
        <w:rPr>
          <w:rFonts w:cs="Arial"/>
          <w:szCs w:val="22"/>
        </w:rPr>
        <w:t xml:space="preserve"> precio de adquisición; los aranceles de importación y los impuestos indirectos no recuperables que recaigan sobre la adquisición;</w:t>
      </w:r>
    </w:p>
    <w:p w14:paraId="076E86AE" w14:textId="77777777" w:rsidR="00F53AB1" w:rsidRPr="00A85FEA" w:rsidRDefault="00F53AB1" w:rsidP="0050647F">
      <w:pPr>
        <w:jc w:val="both"/>
        <w:rPr>
          <w:rFonts w:cs="Arial"/>
          <w:szCs w:val="22"/>
        </w:rPr>
      </w:pPr>
      <w:r w:rsidRPr="00A85FEA">
        <w:rPr>
          <w:rFonts w:cs="Arial"/>
          <w:szCs w:val="22"/>
        </w:rPr>
        <w:t xml:space="preserve"> </w:t>
      </w:r>
    </w:p>
    <w:p w14:paraId="3631645A" w14:textId="77777777" w:rsidR="00F53AB1" w:rsidRPr="00A85FEA" w:rsidRDefault="0050647F" w:rsidP="0050647F">
      <w:pPr>
        <w:jc w:val="both"/>
        <w:rPr>
          <w:rFonts w:cs="Arial"/>
          <w:szCs w:val="22"/>
        </w:rPr>
      </w:pPr>
      <w:r w:rsidRPr="00A85FEA">
        <w:rPr>
          <w:rFonts w:cs="Arial"/>
          <w:szCs w:val="22"/>
        </w:rPr>
        <w:t>Los</w:t>
      </w:r>
      <w:r w:rsidR="00F53AB1" w:rsidRPr="00A85FEA">
        <w:rPr>
          <w:rFonts w:cs="Arial"/>
          <w:szCs w:val="22"/>
        </w:rPr>
        <w:t xml:space="preserve"> costos de beneficios a los empleados que procedan directamente de la construcción o adquisición de un elemento de propiedades, planta y equipo; </w:t>
      </w:r>
    </w:p>
    <w:p w14:paraId="1FE3B1CE" w14:textId="77777777" w:rsidR="00F53AB1" w:rsidRPr="00A85FEA" w:rsidRDefault="00F53AB1" w:rsidP="0050647F">
      <w:pPr>
        <w:jc w:val="both"/>
        <w:rPr>
          <w:rFonts w:cs="Arial"/>
          <w:szCs w:val="22"/>
        </w:rPr>
      </w:pPr>
    </w:p>
    <w:p w14:paraId="7D28EEE5" w14:textId="77777777" w:rsidR="00F53AB1" w:rsidRPr="00A85FEA" w:rsidRDefault="0050647F" w:rsidP="0050647F">
      <w:pPr>
        <w:jc w:val="both"/>
        <w:rPr>
          <w:rFonts w:cs="Arial"/>
          <w:szCs w:val="22"/>
        </w:rPr>
      </w:pPr>
      <w:r w:rsidRPr="00A85FEA">
        <w:rPr>
          <w:rFonts w:cs="Arial"/>
          <w:szCs w:val="22"/>
        </w:rPr>
        <w:t>Los</w:t>
      </w:r>
      <w:r w:rsidR="00F53AB1" w:rsidRPr="00A85FEA">
        <w:rPr>
          <w:rFonts w:cs="Arial"/>
          <w:szCs w:val="22"/>
        </w:rPr>
        <w:t xml:space="preserve"> costos de preparación del lugar para su ubicación física; </w:t>
      </w:r>
    </w:p>
    <w:p w14:paraId="2661B6D6" w14:textId="77777777" w:rsidR="00F53AB1" w:rsidRPr="00A85FEA" w:rsidRDefault="00F53AB1" w:rsidP="0050647F">
      <w:pPr>
        <w:jc w:val="both"/>
        <w:rPr>
          <w:rFonts w:cs="Arial"/>
          <w:szCs w:val="22"/>
        </w:rPr>
      </w:pPr>
    </w:p>
    <w:p w14:paraId="0DAFFC19" w14:textId="77777777" w:rsidR="00F53AB1" w:rsidRPr="00A85FEA" w:rsidRDefault="0050647F" w:rsidP="0050647F">
      <w:pPr>
        <w:jc w:val="both"/>
        <w:rPr>
          <w:rFonts w:cs="Arial"/>
          <w:szCs w:val="22"/>
        </w:rPr>
      </w:pPr>
      <w:r w:rsidRPr="00A85FEA">
        <w:rPr>
          <w:rFonts w:cs="Arial"/>
          <w:szCs w:val="22"/>
        </w:rPr>
        <w:lastRenderedPageBreak/>
        <w:t>Los</w:t>
      </w:r>
      <w:r w:rsidR="00F53AB1" w:rsidRPr="00A85FEA">
        <w:rPr>
          <w:rFonts w:cs="Arial"/>
          <w:szCs w:val="22"/>
        </w:rPr>
        <w:t xml:space="preserve"> costos de entrega inicial y los de manipulación o transporte posterior; </w:t>
      </w:r>
    </w:p>
    <w:p w14:paraId="33670215" w14:textId="77777777" w:rsidR="00F53AB1" w:rsidRPr="00A85FEA" w:rsidRDefault="00F53AB1" w:rsidP="0050647F">
      <w:pPr>
        <w:jc w:val="both"/>
        <w:rPr>
          <w:rFonts w:cs="Arial"/>
          <w:szCs w:val="22"/>
        </w:rPr>
      </w:pPr>
    </w:p>
    <w:p w14:paraId="11C79F8C" w14:textId="77777777" w:rsidR="00F53AB1" w:rsidRPr="00A85FEA" w:rsidRDefault="0050647F" w:rsidP="0050647F">
      <w:pPr>
        <w:jc w:val="both"/>
        <w:rPr>
          <w:rFonts w:cs="Arial"/>
          <w:szCs w:val="22"/>
        </w:rPr>
      </w:pPr>
      <w:r w:rsidRPr="00A85FEA">
        <w:rPr>
          <w:rFonts w:cs="Arial"/>
          <w:szCs w:val="22"/>
        </w:rPr>
        <w:t>Los</w:t>
      </w:r>
      <w:r w:rsidR="00F53AB1" w:rsidRPr="00A85FEA">
        <w:rPr>
          <w:rFonts w:cs="Arial"/>
          <w:szCs w:val="22"/>
        </w:rPr>
        <w:t xml:space="preserve"> costos de instalación y montaje; </w:t>
      </w:r>
    </w:p>
    <w:p w14:paraId="32406F03" w14:textId="77777777" w:rsidR="00F53AB1" w:rsidRPr="00A85FEA" w:rsidRDefault="00F53AB1" w:rsidP="0050647F">
      <w:pPr>
        <w:jc w:val="both"/>
        <w:rPr>
          <w:rFonts w:cs="Arial"/>
          <w:szCs w:val="22"/>
        </w:rPr>
      </w:pPr>
    </w:p>
    <w:p w14:paraId="6CEFA5EC" w14:textId="77777777" w:rsidR="00F53AB1" w:rsidRPr="00A85FEA" w:rsidRDefault="0050647F" w:rsidP="0050647F">
      <w:pPr>
        <w:jc w:val="both"/>
        <w:rPr>
          <w:rFonts w:cs="Arial"/>
          <w:szCs w:val="22"/>
        </w:rPr>
      </w:pPr>
      <w:r w:rsidRPr="00A85FEA">
        <w:rPr>
          <w:rFonts w:cs="Arial"/>
          <w:szCs w:val="22"/>
        </w:rPr>
        <w:t>Los</w:t>
      </w:r>
      <w:r w:rsidR="00F53AB1" w:rsidRPr="00A85FEA">
        <w:rPr>
          <w:rFonts w:cs="Arial"/>
          <w:szCs w:val="22"/>
        </w:rPr>
        <w:t xml:space="preserve"> costos de comprobación del adecuado funcionamiento del activo originados después de deducir el valor neto de la venta de los elementos producidos durante el proceso de instalación y puesta a punto del activo (por ejemplo, las muestras producidas mientras se prueba el equipo); </w:t>
      </w:r>
    </w:p>
    <w:p w14:paraId="40BD34C9" w14:textId="77777777" w:rsidR="00F53AB1" w:rsidRPr="00A85FEA" w:rsidRDefault="00F53AB1" w:rsidP="0050647F">
      <w:pPr>
        <w:jc w:val="both"/>
        <w:rPr>
          <w:rFonts w:cs="Arial"/>
          <w:szCs w:val="22"/>
        </w:rPr>
      </w:pPr>
    </w:p>
    <w:p w14:paraId="359EEC25" w14:textId="77777777" w:rsidR="00F53AB1" w:rsidRPr="00A85FEA" w:rsidRDefault="0050647F" w:rsidP="0050647F">
      <w:pPr>
        <w:jc w:val="both"/>
        <w:rPr>
          <w:rFonts w:cs="Arial"/>
          <w:szCs w:val="22"/>
        </w:rPr>
      </w:pPr>
      <w:r w:rsidRPr="00A85FEA">
        <w:rPr>
          <w:rFonts w:cs="Arial"/>
          <w:szCs w:val="22"/>
        </w:rPr>
        <w:t>Los</w:t>
      </w:r>
      <w:r w:rsidR="00F53AB1" w:rsidRPr="00A85FEA">
        <w:rPr>
          <w:rFonts w:cs="Arial"/>
          <w:szCs w:val="22"/>
        </w:rPr>
        <w:t xml:space="preserve"> honorarios profesionales; así como todos los costos directamente atribuibles a la ubicación del activo en el lugar y en las condiciones necesarias para que pueda operar de la forma prevista por la administración de la CDA.</w:t>
      </w:r>
    </w:p>
    <w:p w14:paraId="2CD61B36" w14:textId="77777777" w:rsidR="00F53AB1" w:rsidRPr="00A85FEA" w:rsidRDefault="00F53AB1" w:rsidP="0050647F">
      <w:pPr>
        <w:jc w:val="both"/>
        <w:rPr>
          <w:rFonts w:cs="Arial"/>
          <w:szCs w:val="22"/>
        </w:rPr>
      </w:pPr>
    </w:p>
    <w:p w14:paraId="2CDEC34E" w14:textId="77777777" w:rsidR="00F53AB1" w:rsidRPr="00A85FEA" w:rsidRDefault="00F53AB1" w:rsidP="0050647F">
      <w:pPr>
        <w:jc w:val="both"/>
        <w:rPr>
          <w:rFonts w:cs="Arial"/>
          <w:szCs w:val="22"/>
        </w:rPr>
      </w:pPr>
      <w:r w:rsidRPr="00A85FEA">
        <w:rPr>
          <w:rFonts w:cs="Arial"/>
          <w:szCs w:val="22"/>
        </w:rPr>
        <w:t>Cualquier descuento o rebaja del precio se reconocerá como un menor valor de las propiedades, planta y equipo, y afectará la base de depreciación.</w:t>
      </w:r>
    </w:p>
    <w:p w14:paraId="78F75542" w14:textId="77777777" w:rsidR="00F53AB1" w:rsidRPr="00A85FEA" w:rsidRDefault="00F53AB1" w:rsidP="00D87929">
      <w:pPr>
        <w:rPr>
          <w:rFonts w:cs="Arial"/>
          <w:szCs w:val="22"/>
        </w:rPr>
      </w:pPr>
    </w:p>
    <w:p w14:paraId="438EC195" w14:textId="77777777" w:rsidR="00F53AB1" w:rsidRPr="00A85FEA" w:rsidRDefault="00F53AB1" w:rsidP="00D87929">
      <w:pPr>
        <w:rPr>
          <w:rFonts w:cs="Arial"/>
          <w:szCs w:val="22"/>
        </w:rPr>
      </w:pPr>
      <w:r w:rsidRPr="00A85FEA">
        <w:rPr>
          <w:rFonts w:cs="Arial"/>
          <w:szCs w:val="22"/>
        </w:rPr>
        <w:t>5.6.1. Permutas</w:t>
      </w:r>
    </w:p>
    <w:p w14:paraId="56A54DAA" w14:textId="77777777" w:rsidR="00F53AB1" w:rsidRPr="00A85FEA" w:rsidRDefault="00F53AB1" w:rsidP="00D87929">
      <w:pPr>
        <w:rPr>
          <w:rFonts w:cs="Arial"/>
          <w:szCs w:val="22"/>
        </w:rPr>
      </w:pPr>
    </w:p>
    <w:p w14:paraId="1EA1591D" w14:textId="77777777" w:rsidR="00F53AB1" w:rsidRPr="00A85FEA" w:rsidRDefault="00F53AB1" w:rsidP="00D87929">
      <w:pPr>
        <w:rPr>
          <w:rFonts w:cs="Arial"/>
          <w:szCs w:val="22"/>
        </w:rPr>
      </w:pPr>
      <w:r w:rsidRPr="00A85FEA">
        <w:rPr>
          <w:rFonts w:cs="Arial"/>
          <w:szCs w:val="22"/>
        </w:rPr>
        <w:t>Las propiedades, planta y equipo que se reciban en permuta se medirán por su valor razonable. A falta de este, se medirán por el valor razonable de los activos entregados y, en ausencia de ambos, por el valor en libros de los activos entregados. En todo caso, al valor determinado se le adicionará cualquier desembolso que sea directamente atribuible a la preparación del activo para el uso previsto.</w:t>
      </w:r>
    </w:p>
    <w:p w14:paraId="2EE465A8" w14:textId="77777777" w:rsidR="00F53AB1" w:rsidRPr="00A85FEA" w:rsidRDefault="00F53AB1" w:rsidP="0050647F">
      <w:pPr>
        <w:pStyle w:val="Ttulo1"/>
        <w:rPr>
          <w:rFonts w:ascii="Arial" w:hAnsi="Arial" w:cs="Arial"/>
          <w:color w:val="auto"/>
          <w:sz w:val="22"/>
          <w:szCs w:val="22"/>
        </w:rPr>
      </w:pPr>
      <w:bookmarkStart w:id="106" w:name="_Toc525721402"/>
      <w:r w:rsidRPr="00A85FEA">
        <w:rPr>
          <w:rFonts w:ascii="Arial" w:hAnsi="Arial" w:cs="Arial"/>
          <w:color w:val="auto"/>
          <w:sz w:val="22"/>
          <w:szCs w:val="22"/>
        </w:rPr>
        <w:t>5.7. Medición posterior</w:t>
      </w:r>
      <w:bookmarkEnd w:id="106"/>
    </w:p>
    <w:p w14:paraId="0B1CB9BF" w14:textId="77777777" w:rsidR="00F53AB1" w:rsidRPr="00A85FEA" w:rsidRDefault="00F53AB1" w:rsidP="00D87929">
      <w:pPr>
        <w:rPr>
          <w:rFonts w:cs="Arial"/>
          <w:szCs w:val="22"/>
        </w:rPr>
      </w:pPr>
    </w:p>
    <w:p w14:paraId="680E9473" w14:textId="77777777" w:rsidR="00F53AB1" w:rsidRPr="00A85FEA" w:rsidRDefault="00F53AB1" w:rsidP="00D87929">
      <w:pPr>
        <w:rPr>
          <w:rFonts w:cs="Arial"/>
          <w:szCs w:val="22"/>
        </w:rPr>
      </w:pPr>
      <w:r w:rsidRPr="00A85FEA">
        <w:rPr>
          <w:rFonts w:cs="Arial"/>
          <w:szCs w:val="22"/>
        </w:rPr>
        <w:t xml:space="preserve">Después del reconocimiento, las propiedades, planta y equipo se medirán por el costo menos la depreciación acumulada menos el deterioro acumulado. </w:t>
      </w:r>
    </w:p>
    <w:p w14:paraId="1261E53C" w14:textId="77777777" w:rsidR="0050647F" w:rsidRPr="00A85FEA" w:rsidRDefault="0050647F" w:rsidP="00D87929">
      <w:pPr>
        <w:rPr>
          <w:rFonts w:cs="Arial"/>
          <w:szCs w:val="22"/>
        </w:rPr>
      </w:pPr>
    </w:p>
    <w:p w14:paraId="50A3E006" w14:textId="77777777" w:rsidR="00F53AB1" w:rsidRPr="00A85FEA" w:rsidRDefault="00F53AB1" w:rsidP="00D87929">
      <w:pPr>
        <w:rPr>
          <w:rFonts w:cs="Arial"/>
          <w:szCs w:val="22"/>
        </w:rPr>
      </w:pPr>
      <w:r w:rsidRPr="00A85FEA">
        <w:rPr>
          <w:rFonts w:cs="Arial"/>
          <w:szCs w:val="22"/>
        </w:rPr>
        <w:t>5.7.1. Depreciación</w:t>
      </w:r>
    </w:p>
    <w:p w14:paraId="39D62CFB" w14:textId="77777777" w:rsidR="00F53AB1" w:rsidRPr="00A85FEA" w:rsidRDefault="00F53AB1" w:rsidP="00D87929">
      <w:pPr>
        <w:rPr>
          <w:rFonts w:cs="Arial"/>
          <w:szCs w:val="22"/>
        </w:rPr>
      </w:pPr>
    </w:p>
    <w:p w14:paraId="68887B1D" w14:textId="77777777" w:rsidR="00F53AB1" w:rsidRPr="00A85FEA" w:rsidRDefault="00F53AB1" w:rsidP="0050647F">
      <w:pPr>
        <w:jc w:val="both"/>
        <w:rPr>
          <w:rFonts w:cs="Arial"/>
          <w:szCs w:val="22"/>
        </w:rPr>
      </w:pPr>
      <w:r w:rsidRPr="00A85FEA">
        <w:rPr>
          <w:rFonts w:cs="Arial"/>
          <w:szCs w:val="22"/>
        </w:rPr>
        <w:t>La depreciación es la distribución sistemática del valor depreciable de un activo a lo largo de su vida útil en función del consumo de los beneficios económicos futuros. La depreciación de una propiedad, planta y equipo iniciará cuando esté disponible para su uso, esto es, cuando se encuentre en la ubicación y en las condiciones necesarias para operar de la forma prevista por la administración de la empresa.</w:t>
      </w:r>
    </w:p>
    <w:p w14:paraId="56E7F0E2" w14:textId="77777777" w:rsidR="00F53AB1" w:rsidRPr="00A85FEA" w:rsidRDefault="00F53AB1" w:rsidP="0050647F">
      <w:pPr>
        <w:jc w:val="both"/>
        <w:rPr>
          <w:rFonts w:cs="Arial"/>
          <w:szCs w:val="22"/>
        </w:rPr>
      </w:pPr>
    </w:p>
    <w:p w14:paraId="1B10F6C7" w14:textId="77777777" w:rsidR="00F53AB1" w:rsidRPr="00A85FEA" w:rsidRDefault="00F53AB1" w:rsidP="0050647F">
      <w:pPr>
        <w:jc w:val="both"/>
        <w:rPr>
          <w:rFonts w:cs="Arial"/>
          <w:szCs w:val="22"/>
        </w:rPr>
      </w:pPr>
      <w:r w:rsidRPr="00A85FEA">
        <w:rPr>
          <w:rFonts w:cs="Arial"/>
          <w:szCs w:val="22"/>
        </w:rPr>
        <w:t>El cargo por depreciación de un periodo se reconocerá como gasto en el resultado de este.</w:t>
      </w:r>
    </w:p>
    <w:p w14:paraId="74D8009D" w14:textId="77777777" w:rsidR="00F53AB1" w:rsidRPr="00A85FEA" w:rsidRDefault="00F53AB1" w:rsidP="0050647F">
      <w:pPr>
        <w:jc w:val="both"/>
        <w:rPr>
          <w:rFonts w:cs="Arial"/>
          <w:szCs w:val="22"/>
        </w:rPr>
      </w:pPr>
    </w:p>
    <w:p w14:paraId="1D9C7C73" w14:textId="77777777" w:rsidR="00F53AB1" w:rsidRPr="00A85FEA" w:rsidRDefault="00F53AB1" w:rsidP="0050647F">
      <w:pPr>
        <w:jc w:val="both"/>
        <w:rPr>
          <w:rFonts w:cs="Arial"/>
          <w:szCs w:val="22"/>
        </w:rPr>
      </w:pPr>
      <w:r w:rsidRPr="00A85FEA">
        <w:rPr>
          <w:rFonts w:cs="Arial"/>
          <w:szCs w:val="22"/>
        </w:rPr>
        <w:lastRenderedPageBreak/>
        <w:t>Los terrenos no serán objeto de depreciación, salvo que se demuestre que tienen una vida útil finita, es decir que, por el uso dado al terreno, sea factible establecer el tiempo durante el cual estará en condiciones de generar beneficios económicos.</w:t>
      </w:r>
    </w:p>
    <w:p w14:paraId="175F1388" w14:textId="77777777" w:rsidR="00F53AB1" w:rsidRPr="00A85FEA" w:rsidRDefault="00F53AB1" w:rsidP="0050647F">
      <w:pPr>
        <w:jc w:val="both"/>
        <w:rPr>
          <w:rFonts w:cs="Arial"/>
          <w:szCs w:val="22"/>
        </w:rPr>
      </w:pPr>
    </w:p>
    <w:p w14:paraId="357D1462" w14:textId="77777777" w:rsidR="00F53AB1" w:rsidRPr="00A85FEA" w:rsidRDefault="00F53AB1" w:rsidP="0050647F">
      <w:pPr>
        <w:jc w:val="both"/>
        <w:rPr>
          <w:rFonts w:cs="Arial"/>
          <w:szCs w:val="22"/>
        </w:rPr>
      </w:pPr>
      <w:r w:rsidRPr="00A85FEA">
        <w:rPr>
          <w:rFonts w:cs="Arial"/>
          <w:szCs w:val="22"/>
        </w:rPr>
        <w:t>La depreciación de un activo cesará cuando se produzca la baja en cuentas.</w:t>
      </w:r>
    </w:p>
    <w:p w14:paraId="1A83D47D" w14:textId="77777777" w:rsidR="00F53AB1" w:rsidRPr="00A85FEA" w:rsidRDefault="00F53AB1" w:rsidP="0050647F">
      <w:pPr>
        <w:jc w:val="both"/>
        <w:rPr>
          <w:rFonts w:cs="Arial"/>
          <w:szCs w:val="22"/>
        </w:rPr>
      </w:pPr>
    </w:p>
    <w:p w14:paraId="4E7B6D91" w14:textId="77777777" w:rsidR="00F53AB1" w:rsidRPr="00A85FEA" w:rsidRDefault="00F53AB1" w:rsidP="0050647F">
      <w:pPr>
        <w:jc w:val="both"/>
        <w:rPr>
          <w:rFonts w:cs="Arial"/>
          <w:szCs w:val="22"/>
        </w:rPr>
      </w:pPr>
      <w:r w:rsidRPr="00A85FEA">
        <w:rPr>
          <w:rFonts w:cs="Arial"/>
          <w:szCs w:val="22"/>
        </w:rPr>
        <w:t>La depreciación no cesará cuando el activo esté sin utilizar o se haya retirado del uso ni cuando el activo sea objeto de operaciones de reparación y mantenimiento.</w:t>
      </w:r>
    </w:p>
    <w:p w14:paraId="70272951" w14:textId="77777777" w:rsidR="00F53AB1" w:rsidRPr="00A85FEA" w:rsidRDefault="00F53AB1" w:rsidP="0050647F">
      <w:pPr>
        <w:jc w:val="both"/>
        <w:rPr>
          <w:rFonts w:cs="Arial"/>
          <w:szCs w:val="22"/>
        </w:rPr>
      </w:pPr>
    </w:p>
    <w:p w14:paraId="2968F9DE" w14:textId="77777777" w:rsidR="00F53AB1" w:rsidRDefault="00F53AB1" w:rsidP="0050647F">
      <w:pPr>
        <w:jc w:val="both"/>
        <w:rPr>
          <w:rFonts w:cs="Arial"/>
          <w:szCs w:val="22"/>
        </w:rPr>
      </w:pPr>
      <w:r w:rsidRPr="00A85FEA">
        <w:rPr>
          <w:rFonts w:cs="Arial"/>
          <w:szCs w:val="22"/>
        </w:rPr>
        <w:t>La vida útil y el método de depreciación serán revisados, como mínimo, al término de cada periodo contable y si existe un cambio significativo en estas variables, se ajustarán para reflejar el nuevo patrón de consumo de los beneficios económicos futuros. Dicho cambio se contabilizará como un cambio en una estimación contable, de conformidad con la Norma de Políticas Contables, Cambios en las Estimaciones Contables y Corrección de Errores.</w:t>
      </w:r>
    </w:p>
    <w:p w14:paraId="3B4693CA" w14:textId="77777777" w:rsidR="00694E69" w:rsidRDefault="00694E69" w:rsidP="0050647F">
      <w:pPr>
        <w:jc w:val="both"/>
        <w:rPr>
          <w:rFonts w:cs="Arial"/>
          <w:szCs w:val="22"/>
        </w:rPr>
      </w:pPr>
    </w:p>
    <w:p w14:paraId="1DA07391" w14:textId="77777777" w:rsidR="00F53AB1" w:rsidRPr="00A85FEA" w:rsidRDefault="00F53AB1" w:rsidP="00D87929">
      <w:pPr>
        <w:rPr>
          <w:rFonts w:cs="Arial"/>
          <w:szCs w:val="22"/>
        </w:rPr>
      </w:pPr>
    </w:p>
    <w:p w14:paraId="2F7E4A95" w14:textId="77777777" w:rsidR="00F53AB1" w:rsidRPr="00A85FEA" w:rsidRDefault="00F53AB1" w:rsidP="00D87929">
      <w:pPr>
        <w:rPr>
          <w:rFonts w:cs="Arial"/>
          <w:szCs w:val="22"/>
        </w:rPr>
      </w:pPr>
      <w:r w:rsidRPr="00A85FEA">
        <w:rPr>
          <w:rFonts w:cs="Arial"/>
          <w:szCs w:val="22"/>
        </w:rPr>
        <w:t>5.7.2. Vida Útil</w:t>
      </w:r>
    </w:p>
    <w:p w14:paraId="1B0005DB" w14:textId="77777777" w:rsidR="00F53AB1" w:rsidRPr="00A85FEA" w:rsidRDefault="00F53AB1" w:rsidP="00D87929">
      <w:pPr>
        <w:rPr>
          <w:rFonts w:cs="Arial"/>
          <w:szCs w:val="22"/>
        </w:rPr>
      </w:pPr>
    </w:p>
    <w:p w14:paraId="6AED6039" w14:textId="77777777" w:rsidR="00F53AB1" w:rsidRPr="00A85FEA" w:rsidRDefault="00F53AB1" w:rsidP="0091167A">
      <w:pPr>
        <w:jc w:val="both"/>
        <w:rPr>
          <w:rFonts w:cs="Arial"/>
          <w:szCs w:val="22"/>
        </w:rPr>
      </w:pPr>
      <w:r w:rsidRPr="00A85FEA">
        <w:rPr>
          <w:rFonts w:cs="Arial"/>
          <w:szCs w:val="22"/>
        </w:rPr>
        <w:t>La vida útil de una propiedad, planta y equipo es el periodo durante el cual la Corporación para el Desarrollo Sostenible del Norte y el Oriente Amazónico – CDA espera utilizar el activo, de acuerdo con:</w:t>
      </w:r>
    </w:p>
    <w:p w14:paraId="2F91575B" w14:textId="77777777" w:rsidR="00F53AB1" w:rsidRPr="00A85FEA" w:rsidRDefault="00F53AB1" w:rsidP="00D87929">
      <w:pPr>
        <w:rPr>
          <w:rFonts w:cs="Arial"/>
          <w:szCs w:val="22"/>
        </w:rPr>
      </w:pPr>
    </w:p>
    <w:p w14:paraId="75D10038" w14:textId="77777777" w:rsidR="00F53AB1" w:rsidRPr="00A85FEA" w:rsidRDefault="0050647F" w:rsidP="0091167A">
      <w:pPr>
        <w:jc w:val="both"/>
        <w:rPr>
          <w:rFonts w:cs="Arial"/>
          <w:szCs w:val="22"/>
        </w:rPr>
      </w:pPr>
      <w:r w:rsidRPr="00A85FEA">
        <w:rPr>
          <w:rFonts w:cs="Arial"/>
          <w:szCs w:val="22"/>
        </w:rPr>
        <w:t>La</w:t>
      </w:r>
      <w:r w:rsidR="00F53AB1" w:rsidRPr="00A85FEA">
        <w:rPr>
          <w:rFonts w:cs="Arial"/>
          <w:szCs w:val="22"/>
        </w:rPr>
        <w:t xml:space="preserve"> utilización prevista del activo, </w:t>
      </w:r>
      <w:r w:rsidR="0091167A" w:rsidRPr="00A85FEA">
        <w:rPr>
          <w:rFonts w:cs="Arial"/>
          <w:szCs w:val="22"/>
        </w:rPr>
        <w:t>e</w:t>
      </w:r>
      <w:r w:rsidRPr="00A85FEA">
        <w:rPr>
          <w:rFonts w:cs="Arial"/>
          <w:szCs w:val="22"/>
        </w:rPr>
        <w:t>l</w:t>
      </w:r>
      <w:r w:rsidR="00F53AB1" w:rsidRPr="00A85FEA">
        <w:rPr>
          <w:rFonts w:cs="Arial"/>
          <w:szCs w:val="22"/>
        </w:rPr>
        <w:t xml:space="preserve"> desgaste físico esperado</w:t>
      </w:r>
      <w:r w:rsidR="0091167A" w:rsidRPr="00A85FEA">
        <w:rPr>
          <w:rFonts w:cs="Arial"/>
          <w:szCs w:val="22"/>
        </w:rPr>
        <w:t>, la</w:t>
      </w:r>
      <w:r w:rsidR="00F53AB1" w:rsidRPr="00A85FEA">
        <w:rPr>
          <w:rFonts w:cs="Arial"/>
          <w:szCs w:val="22"/>
        </w:rPr>
        <w:t xml:space="preserve"> obsolescencia técnica o comercial</w:t>
      </w:r>
      <w:r w:rsidR="0091167A" w:rsidRPr="00A85FEA">
        <w:rPr>
          <w:rFonts w:cs="Arial"/>
          <w:szCs w:val="22"/>
        </w:rPr>
        <w:t>.</w:t>
      </w:r>
    </w:p>
    <w:p w14:paraId="6E024D17" w14:textId="77777777" w:rsidR="00F53AB1" w:rsidRPr="00A85FEA" w:rsidRDefault="00F53AB1" w:rsidP="0091167A">
      <w:pPr>
        <w:jc w:val="both"/>
        <w:rPr>
          <w:rFonts w:cs="Arial"/>
          <w:szCs w:val="22"/>
        </w:rPr>
      </w:pPr>
    </w:p>
    <w:p w14:paraId="69546928" w14:textId="77777777" w:rsidR="00F53AB1" w:rsidRPr="00A85FEA" w:rsidRDefault="00F53AB1" w:rsidP="0091167A">
      <w:pPr>
        <w:jc w:val="both"/>
        <w:rPr>
          <w:rFonts w:cs="Arial"/>
          <w:szCs w:val="22"/>
        </w:rPr>
      </w:pPr>
      <w:r w:rsidRPr="00A85FEA">
        <w:rPr>
          <w:rFonts w:cs="Arial"/>
          <w:szCs w:val="22"/>
        </w:rPr>
        <w:t xml:space="preserve">El cambio en la vida útil del activo se contabilizará como un cambio en una estimación contable, de conformidad con la Norma de Políticas Contables, Cambios en las Estimaciones Contables y Corrección de Errores. </w:t>
      </w:r>
    </w:p>
    <w:p w14:paraId="665322D5" w14:textId="77777777" w:rsidR="00F53AB1" w:rsidRPr="00A85FEA" w:rsidRDefault="00F53AB1" w:rsidP="0091167A">
      <w:pPr>
        <w:jc w:val="both"/>
        <w:rPr>
          <w:rFonts w:cs="Arial"/>
          <w:szCs w:val="22"/>
        </w:rPr>
      </w:pPr>
    </w:p>
    <w:p w14:paraId="1E6C3686" w14:textId="77777777" w:rsidR="00F53AB1" w:rsidRPr="00A85FEA" w:rsidRDefault="0091167A" w:rsidP="0091167A">
      <w:pPr>
        <w:jc w:val="both"/>
        <w:rPr>
          <w:rFonts w:cs="Arial"/>
          <w:i/>
          <w:szCs w:val="22"/>
        </w:rPr>
      </w:pPr>
      <w:r w:rsidRPr="00A85FEA">
        <w:rPr>
          <w:rFonts w:cs="Arial"/>
          <w:i/>
          <w:szCs w:val="22"/>
        </w:rPr>
        <w:t>La</w:t>
      </w:r>
      <w:r w:rsidR="00F53AB1" w:rsidRPr="00A85FEA">
        <w:rPr>
          <w:rFonts w:cs="Arial"/>
          <w:i/>
          <w:szCs w:val="22"/>
        </w:rPr>
        <w:t xml:space="preserve"> Corporación para el Desarrollo Sostenible del Norte y el Oriente Amazónico – CDA establece las vidas útiles en la política de gestión de bienes e infraestructura.</w:t>
      </w:r>
    </w:p>
    <w:p w14:paraId="387470CC" w14:textId="77777777" w:rsidR="00F53AB1" w:rsidRPr="00A85FEA" w:rsidRDefault="00F53AB1" w:rsidP="0091167A">
      <w:pPr>
        <w:jc w:val="both"/>
        <w:rPr>
          <w:rFonts w:cs="Arial"/>
          <w:i/>
          <w:szCs w:val="22"/>
        </w:rPr>
      </w:pPr>
    </w:p>
    <w:p w14:paraId="66180BD6" w14:textId="77777777" w:rsidR="00F53AB1" w:rsidRPr="00A85FEA" w:rsidRDefault="00F53AB1" w:rsidP="00D87929">
      <w:pPr>
        <w:rPr>
          <w:rFonts w:cs="Arial"/>
          <w:szCs w:val="22"/>
        </w:rPr>
      </w:pPr>
      <w:r w:rsidRPr="00A85FEA">
        <w:rPr>
          <w:rFonts w:cs="Arial"/>
          <w:szCs w:val="22"/>
        </w:rPr>
        <w:t>5.7.3. Método de depreciación</w:t>
      </w:r>
    </w:p>
    <w:p w14:paraId="438B06C1" w14:textId="77777777" w:rsidR="00F53AB1" w:rsidRPr="00A85FEA" w:rsidRDefault="00F53AB1" w:rsidP="00D87929">
      <w:pPr>
        <w:rPr>
          <w:rFonts w:cs="Arial"/>
          <w:szCs w:val="22"/>
        </w:rPr>
      </w:pPr>
    </w:p>
    <w:p w14:paraId="478EF72D" w14:textId="77777777" w:rsidR="00F53AB1" w:rsidRPr="00A85FEA" w:rsidRDefault="00F53AB1" w:rsidP="0091167A">
      <w:pPr>
        <w:jc w:val="both"/>
        <w:rPr>
          <w:rFonts w:cs="Arial"/>
          <w:szCs w:val="22"/>
        </w:rPr>
      </w:pPr>
      <w:r w:rsidRPr="00A85FEA">
        <w:rPr>
          <w:rFonts w:cs="Arial"/>
          <w:szCs w:val="22"/>
        </w:rPr>
        <w:t>La distribución sistemática del valor depreciable del activo a lo largo de la vida útil se llevará a cabo mediante un método de depreciación que refleje el patrón de consumo de los beneficios económicos futuros del activo. la Corporación para el Desarrollo Sostenible del Norte y el Oriente Amazónico – CDA establece el método de depreciación de línea recta, el cual se aplicará uniformemente en todos los periodos.</w:t>
      </w:r>
    </w:p>
    <w:p w14:paraId="52AD43C0" w14:textId="77777777" w:rsidR="00F53AB1" w:rsidRPr="00A85FEA" w:rsidRDefault="00F53AB1" w:rsidP="0091167A">
      <w:pPr>
        <w:jc w:val="both"/>
        <w:rPr>
          <w:rFonts w:cs="Arial"/>
          <w:szCs w:val="22"/>
        </w:rPr>
      </w:pPr>
    </w:p>
    <w:p w14:paraId="5C0D04C0" w14:textId="77777777" w:rsidR="00F53AB1" w:rsidRPr="00A85FEA" w:rsidRDefault="00F53AB1" w:rsidP="0091167A">
      <w:pPr>
        <w:jc w:val="both"/>
        <w:rPr>
          <w:rFonts w:cs="Arial"/>
          <w:szCs w:val="22"/>
        </w:rPr>
      </w:pPr>
      <w:r w:rsidRPr="00A85FEA">
        <w:rPr>
          <w:rFonts w:cs="Arial"/>
          <w:szCs w:val="22"/>
        </w:rPr>
        <w:t>5.7.4. Deterioro.</w:t>
      </w:r>
    </w:p>
    <w:p w14:paraId="7A7C1815" w14:textId="77777777" w:rsidR="00F53AB1" w:rsidRPr="00A85FEA" w:rsidRDefault="00F53AB1" w:rsidP="0091167A">
      <w:pPr>
        <w:jc w:val="both"/>
        <w:rPr>
          <w:rFonts w:cs="Arial"/>
          <w:szCs w:val="22"/>
        </w:rPr>
      </w:pPr>
    </w:p>
    <w:p w14:paraId="05B4D1C6" w14:textId="77777777" w:rsidR="00F53AB1" w:rsidRPr="00A85FEA" w:rsidRDefault="00F53AB1" w:rsidP="0091167A">
      <w:pPr>
        <w:jc w:val="both"/>
        <w:rPr>
          <w:rFonts w:cs="Arial"/>
          <w:szCs w:val="22"/>
        </w:rPr>
      </w:pPr>
      <w:r w:rsidRPr="00A85FEA">
        <w:rPr>
          <w:rFonts w:cs="Arial"/>
          <w:szCs w:val="22"/>
        </w:rPr>
        <w:lastRenderedPageBreak/>
        <w:t>Para efectos de determinar el deterioro de una propiedad, planta y equipo, la empresa aplicará lo establecido en la Norma de Deterioro del Valor de los Activos. La compensación procedente de terceros por elementos deteriorados de propiedades, planta y equipo, o por indemnizaciones recibidas producto de pérdidas o abandonos se reconocerá como ingreso en el resultado del periodo en el momento en que la compensación sea exigible.</w:t>
      </w:r>
    </w:p>
    <w:p w14:paraId="04E03B07" w14:textId="77777777" w:rsidR="00F53AB1" w:rsidRPr="00A85FEA" w:rsidRDefault="00F53AB1" w:rsidP="0091167A">
      <w:pPr>
        <w:pStyle w:val="Ttulo1"/>
        <w:rPr>
          <w:rFonts w:ascii="Arial" w:hAnsi="Arial" w:cs="Arial"/>
          <w:color w:val="auto"/>
          <w:sz w:val="22"/>
          <w:szCs w:val="22"/>
        </w:rPr>
      </w:pPr>
      <w:bookmarkStart w:id="107" w:name="_Toc525721403"/>
      <w:r w:rsidRPr="00A85FEA">
        <w:rPr>
          <w:rFonts w:ascii="Arial" w:hAnsi="Arial" w:cs="Arial"/>
          <w:color w:val="auto"/>
          <w:sz w:val="22"/>
          <w:szCs w:val="22"/>
        </w:rPr>
        <w:t>5.8. Gestión del riesgo</w:t>
      </w:r>
      <w:bookmarkEnd w:id="107"/>
    </w:p>
    <w:p w14:paraId="29452175" w14:textId="77777777" w:rsidR="00F53AB1" w:rsidRPr="00A85FEA" w:rsidRDefault="00F53AB1" w:rsidP="0091167A">
      <w:pPr>
        <w:jc w:val="both"/>
        <w:rPr>
          <w:rFonts w:cs="Arial"/>
          <w:szCs w:val="22"/>
        </w:rPr>
      </w:pPr>
    </w:p>
    <w:p w14:paraId="5C215BE5" w14:textId="77777777" w:rsidR="00F53AB1" w:rsidRPr="00A85FEA" w:rsidRDefault="00F53AB1" w:rsidP="0091167A">
      <w:pPr>
        <w:jc w:val="both"/>
        <w:rPr>
          <w:rFonts w:cs="Arial"/>
          <w:szCs w:val="22"/>
        </w:rPr>
      </w:pPr>
      <w:r w:rsidRPr="00A85FEA">
        <w:rPr>
          <w:rFonts w:cs="Arial"/>
          <w:szCs w:val="22"/>
        </w:rPr>
        <w:t xml:space="preserve">Desactualización del inventario de las propiedades, planta y equipo </w:t>
      </w:r>
    </w:p>
    <w:p w14:paraId="06CF4A98" w14:textId="77777777" w:rsidR="00F53AB1" w:rsidRPr="00A85FEA" w:rsidRDefault="00F53AB1" w:rsidP="0091167A">
      <w:pPr>
        <w:jc w:val="both"/>
        <w:rPr>
          <w:rFonts w:cs="Arial"/>
          <w:szCs w:val="22"/>
        </w:rPr>
      </w:pPr>
      <w:r w:rsidRPr="00A85FEA">
        <w:rPr>
          <w:rFonts w:cs="Arial"/>
          <w:szCs w:val="22"/>
        </w:rPr>
        <w:t>Elementos con valor de cero en el grupo de las propiedades, planta y equipo</w:t>
      </w:r>
    </w:p>
    <w:p w14:paraId="596D59FF" w14:textId="77777777" w:rsidR="00F53AB1" w:rsidRPr="00A85FEA" w:rsidRDefault="00F53AB1" w:rsidP="0091167A">
      <w:pPr>
        <w:jc w:val="both"/>
        <w:rPr>
          <w:rFonts w:cs="Arial"/>
          <w:szCs w:val="22"/>
        </w:rPr>
      </w:pPr>
      <w:r w:rsidRPr="00A85FEA">
        <w:rPr>
          <w:rFonts w:cs="Arial"/>
          <w:szCs w:val="22"/>
        </w:rPr>
        <w:t xml:space="preserve">Elementos inservibles y ociosos en bodega </w:t>
      </w:r>
    </w:p>
    <w:p w14:paraId="53226EFE" w14:textId="77777777" w:rsidR="00F53AB1" w:rsidRPr="00A85FEA" w:rsidRDefault="00F53AB1" w:rsidP="0091167A">
      <w:pPr>
        <w:jc w:val="both"/>
        <w:rPr>
          <w:rFonts w:cs="Arial"/>
          <w:szCs w:val="22"/>
        </w:rPr>
      </w:pPr>
      <w:r w:rsidRPr="00A85FEA">
        <w:rPr>
          <w:rFonts w:cs="Arial"/>
          <w:szCs w:val="22"/>
        </w:rPr>
        <w:t>Elementos dañados a cargo de un funcionario</w:t>
      </w:r>
    </w:p>
    <w:p w14:paraId="6B08DA91" w14:textId="77777777" w:rsidR="00F53AB1" w:rsidRPr="00A85FEA" w:rsidRDefault="00F53AB1" w:rsidP="0091167A">
      <w:pPr>
        <w:jc w:val="both"/>
        <w:rPr>
          <w:rFonts w:cs="Arial"/>
          <w:szCs w:val="22"/>
        </w:rPr>
      </w:pPr>
      <w:r w:rsidRPr="00A85FEA">
        <w:rPr>
          <w:rFonts w:cs="Arial"/>
          <w:szCs w:val="22"/>
        </w:rPr>
        <w:t>Activos recibidos en transacciones sin contraprestación sin registrar en el módulo de almacén y sin establecer el control de los mismos</w:t>
      </w:r>
    </w:p>
    <w:p w14:paraId="4DB5D3C7" w14:textId="77777777" w:rsidR="00F53AB1" w:rsidRPr="00A85FEA" w:rsidRDefault="00F53AB1" w:rsidP="0091167A">
      <w:pPr>
        <w:jc w:val="both"/>
        <w:rPr>
          <w:rFonts w:cs="Arial"/>
          <w:szCs w:val="22"/>
        </w:rPr>
      </w:pPr>
      <w:r w:rsidRPr="00A85FEA">
        <w:rPr>
          <w:rFonts w:cs="Arial"/>
          <w:szCs w:val="22"/>
        </w:rPr>
        <w:t>Activos entregados a terceros sin la respectiva salida del módulo de almacén</w:t>
      </w:r>
    </w:p>
    <w:p w14:paraId="538A50BC" w14:textId="77777777" w:rsidR="00F53AB1" w:rsidRPr="00A85FEA" w:rsidRDefault="00F53AB1" w:rsidP="0091167A">
      <w:pPr>
        <w:jc w:val="both"/>
        <w:rPr>
          <w:rFonts w:cs="Arial"/>
          <w:szCs w:val="22"/>
        </w:rPr>
      </w:pPr>
      <w:r w:rsidRPr="00A85FEA">
        <w:rPr>
          <w:rFonts w:cs="Arial"/>
          <w:szCs w:val="22"/>
        </w:rPr>
        <w:t xml:space="preserve">Activos perdidos (hurtados) sin salida del almacén  </w:t>
      </w:r>
    </w:p>
    <w:p w14:paraId="7C481529" w14:textId="77777777" w:rsidR="00F53AB1" w:rsidRPr="00A85FEA" w:rsidRDefault="00F53AB1" w:rsidP="0091167A">
      <w:pPr>
        <w:jc w:val="both"/>
        <w:rPr>
          <w:rFonts w:cs="Arial"/>
          <w:szCs w:val="22"/>
        </w:rPr>
      </w:pPr>
      <w:r w:rsidRPr="00A85FEA">
        <w:rPr>
          <w:rFonts w:cs="Arial"/>
          <w:szCs w:val="22"/>
        </w:rPr>
        <w:t>Inadecuada asignación del responsable de los activos (Funcionarios asumiendo responsabilidades de activos que usan los contratistas)</w:t>
      </w:r>
    </w:p>
    <w:p w14:paraId="7460B011" w14:textId="77777777" w:rsidR="00F53AB1" w:rsidRPr="00A85FEA" w:rsidRDefault="00F53AB1" w:rsidP="0091167A">
      <w:pPr>
        <w:pStyle w:val="Ttulo1"/>
        <w:rPr>
          <w:rFonts w:ascii="Arial" w:hAnsi="Arial" w:cs="Arial"/>
          <w:color w:val="auto"/>
          <w:sz w:val="22"/>
          <w:szCs w:val="22"/>
        </w:rPr>
      </w:pPr>
      <w:bookmarkStart w:id="108" w:name="_Toc525721404"/>
      <w:r w:rsidRPr="00A85FEA">
        <w:rPr>
          <w:rFonts w:ascii="Arial" w:hAnsi="Arial" w:cs="Arial"/>
          <w:color w:val="auto"/>
          <w:sz w:val="22"/>
          <w:szCs w:val="22"/>
        </w:rPr>
        <w:t>5.9. Controles Contables</w:t>
      </w:r>
      <w:bookmarkEnd w:id="108"/>
    </w:p>
    <w:p w14:paraId="3C4F64DA" w14:textId="77777777" w:rsidR="00F53AB1" w:rsidRPr="00A85FEA" w:rsidRDefault="00F53AB1" w:rsidP="00D87929">
      <w:pPr>
        <w:rPr>
          <w:rFonts w:cs="Arial"/>
          <w:szCs w:val="22"/>
        </w:rPr>
      </w:pPr>
    </w:p>
    <w:p w14:paraId="4CDCCF98" w14:textId="77777777" w:rsidR="00F53AB1" w:rsidRPr="00A85FEA" w:rsidRDefault="00F53AB1" w:rsidP="0091167A">
      <w:pPr>
        <w:jc w:val="both"/>
        <w:rPr>
          <w:rFonts w:cs="Arial"/>
          <w:szCs w:val="22"/>
        </w:rPr>
      </w:pPr>
      <w:r w:rsidRPr="00A85FEA">
        <w:rPr>
          <w:rFonts w:cs="Arial"/>
          <w:szCs w:val="22"/>
        </w:rPr>
        <w:t>Las escrituras, facturas, entre otros y toda la documentación original oficial relacionada con la adquisición de los bienes inmuebles, permanecen en un archivo especial bajo la custodia y responsabilidad de Tesorería.</w:t>
      </w:r>
    </w:p>
    <w:p w14:paraId="4E14D03C" w14:textId="77777777" w:rsidR="00F53AB1" w:rsidRPr="00A85FEA" w:rsidRDefault="00F53AB1" w:rsidP="0091167A">
      <w:pPr>
        <w:jc w:val="both"/>
        <w:rPr>
          <w:rFonts w:cs="Arial"/>
          <w:szCs w:val="22"/>
        </w:rPr>
      </w:pPr>
      <w:r w:rsidRPr="00A85FEA">
        <w:rPr>
          <w:rFonts w:cs="Arial"/>
          <w:szCs w:val="22"/>
        </w:rPr>
        <w:t xml:space="preserve">El almacenista de la Corporación para el Desarrollo Sostenible del Norte y el Oriente Amazónico – CDA por lo menos al final del periodo contable realizará el inventario físico de los elementos de propiedades, planta y equipo para la verificación de la existencia, estado y uso. </w:t>
      </w:r>
    </w:p>
    <w:p w14:paraId="0F857BB8" w14:textId="77777777" w:rsidR="00F53AB1" w:rsidRPr="00A85FEA" w:rsidRDefault="00F53AB1" w:rsidP="0091167A">
      <w:pPr>
        <w:jc w:val="both"/>
        <w:rPr>
          <w:rFonts w:cs="Arial"/>
          <w:szCs w:val="22"/>
        </w:rPr>
      </w:pPr>
      <w:r w:rsidRPr="00A85FEA">
        <w:rPr>
          <w:rFonts w:cs="Arial"/>
          <w:szCs w:val="22"/>
        </w:rPr>
        <w:t>Aumentar o disminuir la vida útil de los activos de acuerdo a su estado y expectativas de uso</w:t>
      </w:r>
      <w:r w:rsidR="0091167A" w:rsidRPr="00A85FEA">
        <w:rPr>
          <w:rFonts w:cs="Arial"/>
          <w:szCs w:val="22"/>
        </w:rPr>
        <w:t>.</w:t>
      </w:r>
    </w:p>
    <w:p w14:paraId="0EE8073B" w14:textId="77777777" w:rsidR="00F53AB1" w:rsidRPr="00A85FEA" w:rsidRDefault="00F53AB1" w:rsidP="0091167A">
      <w:pPr>
        <w:jc w:val="both"/>
        <w:rPr>
          <w:rFonts w:cs="Arial"/>
          <w:szCs w:val="22"/>
        </w:rPr>
      </w:pPr>
      <w:r w:rsidRPr="00A85FEA">
        <w:rPr>
          <w:rFonts w:cs="Arial"/>
          <w:szCs w:val="22"/>
        </w:rPr>
        <w:t>Agilidad en la gestión de bajas y disposición final de los elementos que cumplen tal condición</w:t>
      </w:r>
      <w:r w:rsidR="0091167A" w:rsidRPr="00A85FEA">
        <w:rPr>
          <w:rFonts w:cs="Arial"/>
          <w:szCs w:val="22"/>
        </w:rPr>
        <w:t>.</w:t>
      </w:r>
    </w:p>
    <w:p w14:paraId="766A1D8D" w14:textId="77777777" w:rsidR="00F53AB1" w:rsidRPr="00A85FEA" w:rsidRDefault="00F53AB1" w:rsidP="0091167A">
      <w:pPr>
        <w:jc w:val="both"/>
        <w:rPr>
          <w:rFonts w:cs="Arial"/>
          <w:szCs w:val="22"/>
        </w:rPr>
      </w:pPr>
      <w:r w:rsidRPr="00A85FEA">
        <w:rPr>
          <w:rFonts w:cs="Arial"/>
          <w:szCs w:val="22"/>
        </w:rPr>
        <w:t>Aplicar las normas de reconocimiento de un activo de propiedades, planta y equipo</w:t>
      </w:r>
    </w:p>
    <w:p w14:paraId="5FFC9020" w14:textId="77777777" w:rsidR="00F53AB1" w:rsidRPr="00A85FEA" w:rsidRDefault="00F53AB1" w:rsidP="0091167A">
      <w:pPr>
        <w:jc w:val="both"/>
        <w:rPr>
          <w:rFonts w:cs="Arial"/>
          <w:szCs w:val="22"/>
        </w:rPr>
      </w:pPr>
      <w:r w:rsidRPr="00A85FEA">
        <w:rPr>
          <w:rFonts w:cs="Arial"/>
          <w:szCs w:val="22"/>
        </w:rPr>
        <w:t>Garantizar la debida identificación o responsable del usuario del activo</w:t>
      </w:r>
    </w:p>
    <w:p w14:paraId="7731F6A9" w14:textId="77777777" w:rsidR="00F53AB1" w:rsidRPr="00A85FEA" w:rsidRDefault="00F53AB1" w:rsidP="00D87929">
      <w:pPr>
        <w:rPr>
          <w:rFonts w:cs="Arial"/>
          <w:szCs w:val="22"/>
        </w:rPr>
      </w:pPr>
      <w:r w:rsidRPr="00A85FEA">
        <w:rPr>
          <w:rFonts w:cs="Arial"/>
          <w:szCs w:val="22"/>
        </w:rPr>
        <w:t xml:space="preserve"> </w:t>
      </w:r>
    </w:p>
    <w:p w14:paraId="52D0A5D5" w14:textId="77777777" w:rsidR="00F53AB1" w:rsidRPr="00A85FEA" w:rsidRDefault="00F53AB1" w:rsidP="0091167A">
      <w:pPr>
        <w:pStyle w:val="Ttulo1"/>
        <w:rPr>
          <w:rFonts w:ascii="Arial" w:hAnsi="Arial" w:cs="Arial"/>
          <w:color w:val="auto"/>
          <w:sz w:val="22"/>
          <w:szCs w:val="22"/>
        </w:rPr>
      </w:pPr>
      <w:bookmarkStart w:id="109" w:name="_Toc525721405"/>
      <w:r w:rsidRPr="00A85FEA">
        <w:rPr>
          <w:rFonts w:ascii="Arial" w:hAnsi="Arial" w:cs="Arial"/>
          <w:color w:val="auto"/>
          <w:sz w:val="22"/>
          <w:szCs w:val="22"/>
        </w:rPr>
        <w:t>5.10. Baja en cuentas</w:t>
      </w:r>
      <w:bookmarkEnd w:id="109"/>
    </w:p>
    <w:p w14:paraId="2976C0B6" w14:textId="77777777" w:rsidR="00F53AB1" w:rsidRPr="00A85FEA" w:rsidRDefault="00F53AB1" w:rsidP="00D87929">
      <w:pPr>
        <w:rPr>
          <w:rFonts w:eastAsia="Calibri" w:cs="Arial"/>
          <w:szCs w:val="22"/>
        </w:rPr>
      </w:pPr>
    </w:p>
    <w:p w14:paraId="4BCBC1E9" w14:textId="77777777" w:rsidR="00F53AB1" w:rsidRPr="00A85FEA" w:rsidRDefault="00F53AB1" w:rsidP="00694E69">
      <w:pPr>
        <w:jc w:val="both"/>
        <w:rPr>
          <w:rFonts w:cs="Arial"/>
          <w:szCs w:val="22"/>
        </w:rPr>
      </w:pPr>
      <w:r w:rsidRPr="00A85FEA">
        <w:rPr>
          <w:rFonts w:cs="Arial"/>
          <w:szCs w:val="22"/>
        </w:rPr>
        <w:lastRenderedPageBreak/>
        <w:t>La Corporación para el Desarrollo Sostenible del Norte y el Oriente Amazónico – CDA dará de baja un elemento de propiedades, planta y equipo cuando no cumpla con los requisitos establecidos para que se reconozca como tal. Esto se puede presentar cuando:</w:t>
      </w:r>
    </w:p>
    <w:p w14:paraId="62DADF89" w14:textId="77777777" w:rsidR="00F53AB1" w:rsidRPr="00A85FEA" w:rsidRDefault="00F53AB1" w:rsidP="00694E69">
      <w:pPr>
        <w:jc w:val="both"/>
        <w:rPr>
          <w:rFonts w:cs="Arial"/>
          <w:szCs w:val="22"/>
        </w:rPr>
      </w:pPr>
    </w:p>
    <w:p w14:paraId="01BE6716" w14:textId="77777777" w:rsidR="00F53AB1" w:rsidRPr="00A85FEA" w:rsidRDefault="00F53AB1" w:rsidP="00694E69">
      <w:pPr>
        <w:jc w:val="both"/>
        <w:rPr>
          <w:rFonts w:eastAsia="Calibri" w:cs="Arial"/>
          <w:szCs w:val="22"/>
        </w:rPr>
      </w:pPr>
      <w:r w:rsidRPr="00A85FEA">
        <w:rPr>
          <w:rFonts w:cs="Arial"/>
          <w:szCs w:val="22"/>
        </w:rPr>
        <w:t xml:space="preserve">Se dispone del elemento o </w:t>
      </w:r>
    </w:p>
    <w:p w14:paraId="00856215" w14:textId="77777777" w:rsidR="00F53AB1" w:rsidRPr="00A85FEA" w:rsidRDefault="00F53AB1" w:rsidP="00694E69">
      <w:pPr>
        <w:jc w:val="both"/>
        <w:rPr>
          <w:rFonts w:eastAsia="Calibri" w:cs="Arial"/>
          <w:szCs w:val="22"/>
        </w:rPr>
      </w:pPr>
    </w:p>
    <w:p w14:paraId="18105DC1" w14:textId="77777777" w:rsidR="00F53AB1" w:rsidRPr="00A85FEA" w:rsidRDefault="00F53AB1" w:rsidP="00694E69">
      <w:pPr>
        <w:jc w:val="both"/>
        <w:rPr>
          <w:rFonts w:eastAsia="Calibri" w:cs="Arial"/>
          <w:szCs w:val="22"/>
        </w:rPr>
      </w:pPr>
      <w:r w:rsidRPr="00A85FEA">
        <w:rPr>
          <w:rFonts w:cs="Arial"/>
          <w:szCs w:val="22"/>
        </w:rPr>
        <w:t xml:space="preserve">Cuando no se espera obtener beneficios económicos futuros o un potencial de servicios por su uso o enajenación. </w:t>
      </w:r>
    </w:p>
    <w:p w14:paraId="46E98056" w14:textId="77777777" w:rsidR="00F53AB1" w:rsidRPr="00A85FEA" w:rsidRDefault="00F53AB1" w:rsidP="00694E69">
      <w:pPr>
        <w:jc w:val="both"/>
        <w:rPr>
          <w:rFonts w:eastAsia="Calibri" w:cs="Arial"/>
          <w:szCs w:val="22"/>
        </w:rPr>
      </w:pPr>
    </w:p>
    <w:p w14:paraId="06ED380C" w14:textId="77777777" w:rsidR="00F53AB1" w:rsidRPr="00A85FEA" w:rsidRDefault="00F53AB1" w:rsidP="00694E69">
      <w:pPr>
        <w:jc w:val="both"/>
        <w:rPr>
          <w:rFonts w:eastAsia="Calibri" w:cs="Arial"/>
          <w:szCs w:val="22"/>
        </w:rPr>
      </w:pPr>
      <w:r w:rsidRPr="00A85FEA">
        <w:rPr>
          <w:rFonts w:eastAsia="Calibri" w:cs="Arial"/>
          <w:szCs w:val="22"/>
        </w:rPr>
        <w:t>Cuando este en desuso u obsoleto</w:t>
      </w:r>
    </w:p>
    <w:p w14:paraId="558BD104" w14:textId="77777777" w:rsidR="00F53AB1" w:rsidRPr="00A85FEA" w:rsidRDefault="00F53AB1" w:rsidP="00694E69">
      <w:pPr>
        <w:jc w:val="both"/>
        <w:rPr>
          <w:rFonts w:eastAsia="Calibri" w:cs="Arial"/>
          <w:szCs w:val="22"/>
        </w:rPr>
      </w:pPr>
    </w:p>
    <w:p w14:paraId="6FDE6A2E" w14:textId="77777777" w:rsidR="00F53AB1" w:rsidRPr="00A85FEA" w:rsidRDefault="00F53AB1" w:rsidP="00D87929">
      <w:pPr>
        <w:rPr>
          <w:rFonts w:eastAsia="Calibri" w:cs="Arial"/>
          <w:szCs w:val="22"/>
        </w:rPr>
      </w:pPr>
      <w:r w:rsidRPr="00A85FEA">
        <w:rPr>
          <w:rFonts w:eastAsia="Calibri" w:cs="Arial"/>
          <w:szCs w:val="22"/>
        </w:rPr>
        <w:t>Cuando este en mal estado y no se tenga</w:t>
      </w:r>
      <w:r w:rsidRPr="00A85FEA">
        <w:rPr>
          <w:rFonts w:cs="Arial"/>
          <w:szCs w:val="22"/>
        </w:rPr>
        <w:t xml:space="preserve"> intenciones de repararlo.</w:t>
      </w:r>
    </w:p>
    <w:p w14:paraId="429C5DD9" w14:textId="77777777" w:rsidR="00F53AB1" w:rsidRPr="00A85FEA" w:rsidRDefault="00F53AB1" w:rsidP="00D87929">
      <w:pPr>
        <w:rPr>
          <w:rFonts w:eastAsia="Calibri" w:cs="Arial"/>
          <w:szCs w:val="22"/>
        </w:rPr>
      </w:pPr>
    </w:p>
    <w:p w14:paraId="03C9207B" w14:textId="77777777" w:rsidR="00F53AB1" w:rsidRPr="00A85FEA" w:rsidRDefault="00F53AB1" w:rsidP="00D87929">
      <w:pPr>
        <w:rPr>
          <w:rFonts w:eastAsia="Calibri" w:cs="Arial"/>
          <w:szCs w:val="22"/>
        </w:rPr>
      </w:pPr>
      <w:r w:rsidRPr="00A85FEA">
        <w:rPr>
          <w:rFonts w:cs="Arial"/>
          <w:szCs w:val="22"/>
        </w:rPr>
        <w:t>Cuando se pierda y no se tenga el control del mismo.</w:t>
      </w:r>
    </w:p>
    <w:p w14:paraId="55EFCF92" w14:textId="77777777" w:rsidR="00F53AB1" w:rsidRPr="00A85FEA" w:rsidRDefault="00F53AB1" w:rsidP="0091167A">
      <w:pPr>
        <w:pStyle w:val="Ttulo1"/>
        <w:rPr>
          <w:rFonts w:ascii="Arial" w:hAnsi="Arial" w:cs="Arial"/>
          <w:color w:val="auto"/>
          <w:sz w:val="22"/>
          <w:szCs w:val="22"/>
        </w:rPr>
      </w:pPr>
      <w:bookmarkStart w:id="110" w:name="_Toc525721406"/>
      <w:r w:rsidRPr="00A85FEA">
        <w:rPr>
          <w:rFonts w:ascii="Arial" w:hAnsi="Arial" w:cs="Arial"/>
          <w:color w:val="auto"/>
          <w:sz w:val="22"/>
          <w:szCs w:val="22"/>
        </w:rPr>
        <w:t>5.11. Revelaciones</w:t>
      </w:r>
      <w:bookmarkEnd w:id="110"/>
    </w:p>
    <w:p w14:paraId="6BFAF96A" w14:textId="77777777" w:rsidR="00F53AB1" w:rsidRPr="00A85FEA" w:rsidRDefault="00F53AB1" w:rsidP="00D87929">
      <w:pPr>
        <w:rPr>
          <w:rFonts w:cs="Arial"/>
          <w:szCs w:val="22"/>
        </w:rPr>
      </w:pPr>
    </w:p>
    <w:p w14:paraId="163F4E7F" w14:textId="77777777" w:rsidR="00F53AB1" w:rsidRPr="00A85FEA" w:rsidRDefault="00F53AB1" w:rsidP="0091167A">
      <w:pPr>
        <w:jc w:val="both"/>
        <w:rPr>
          <w:rFonts w:cs="Arial"/>
          <w:szCs w:val="22"/>
        </w:rPr>
      </w:pPr>
      <w:r w:rsidRPr="00A85FEA">
        <w:rPr>
          <w:rFonts w:cs="Arial"/>
          <w:szCs w:val="22"/>
        </w:rPr>
        <w:t xml:space="preserve">La Corporación para el Desarrollo Sostenible del Norte y el Oriente Amazónico – CDA revelará, para cada clase de propiedad, planta y equipo, los siguientes aspectos: </w:t>
      </w:r>
    </w:p>
    <w:p w14:paraId="15B322B3" w14:textId="77777777" w:rsidR="00F53AB1" w:rsidRPr="00A85FEA" w:rsidRDefault="00F53AB1" w:rsidP="0091167A">
      <w:pPr>
        <w:jc w:val="both"/>
        <w:rPr>
          <w:rFonts w:cs="Arial"/>
          <w:szCs w:val="22"/>
        </w:rPr>
      </w:pPr>
    </w:p>
    <w:p w14:paraId="1446E839" w14:textId="77777777" w:rsidR="00F53AB1" w:rsidRPr="00A85FEA" w:rsidRDefault="0091167A" w:rsidP="0091167A">
      <w:pPr>
        <w:jc w:val="both"/>
        <w:rPr>
          <w:rFonts w:cs="Arial"/>
          <w:szCs w:val="22"/>
        </w:rPr>
      </w:pPr>
      <w:r w:rsidRPr="00A85FEA">
        <w:rPr>
          <w:rFonts w:cs="Arial"/>
          <w:szCs w:val="22"/>
        </w:rPr>
        <w:t>Los</w:t>
      </w:r>
      <w:r w:rsidR="00F53AB1" w:rsidRPr="00A85FEA">
        <w:rPr>
          <w:rFonts w:cs="Arial"/>
          <w:szCs w:val="22"/>
        </w:rPr>
        <w:t xml:space="preserve"> métodos de depreciación utilizados;</w:t>
      </w:r>
    </w:p>
    <w:p w14:paraId="7F479936" w14:textId="77777777" w:rsidR="00F53AB1" w:rsidRPr="00A85FEA" w:rsidRDefault="00F53AB1" w:rsidP="0091167A">
      <w:pPr>
        <w:jc w:val="both"/>
        <w:rPr>
          <w:rFonts w:cs="Arial"/>
          <w:szCs w:val="22"/>
        </w:rPr>
      </w:pPr>
    </w:p>
    <w:p w14:paraId="78CDA9E5" w14:textId="77777777" w:rsidR="00F53AB1" w:rsidRPr="00A85FEA" w:rsidRDefault="0091167A" w:rsidP="0091167A">
      <w:pPr>
        <w:jc w:val="both"/>
        <w:rPr>
          <w:rFonts w:cs="Arial"/>
          <w:szCs w:val="22"/>
        </w:rPr>
      </w:pPr>
      <w:r w:rsidRPr="00A85FEA">
        <w:rPr>
          <w:rFonts w:cs="Arial"/>
          <w:szCs w:val="22"/>
        </w:rPr>
        <w:t>Las</w:t>
      </w:r>
      <w:r w:rsidR="00F53AB1" w:rsidRPr="00A85FEA">
        <w:rPr>
          <w:rFonts w:cs="Arial"/>
          <w:szCs w:val="22"/>
        </w:rPr>
        <w:t xml:space="preserve"> vidas útiles o las tasas de depreciación utilizadas;</w:t>
      </w:r>
    </w:p>
    <w:p w14:paraId="04FBAB02" w14:textId="77777777" w:rsidR="00F53AB1" w:rsidRPr="00A85FEA" w:rsidRDefault="00F53AB1" w:rsidP="0091167A">
      <w:pPr>
        <w:jc w:val="both"/>
        <w:rPr>
          <w:rFonts w:cs="Arial"/>
          <w:szCs w:val="22"/>
        </w:rPr>
      </w:pPr>
    </w:p>
    <w:p w14:paraId="45DC2618" w14:textId="77777777" w:rsidR="00F53AB1" w:rsidRPr="00A85FEA" w:rsidRDefault="0091167A" w:rsidP="0091167A">
      <w:pPr>
        <w:jc w:val="both"/>
        <w:rPr>
          <w:rFonts w:cs="Arial"/>
          <w:szCs w:val="22"/>
        </w:rPr>
      </w:pPr>
      <w:r w:rsidRPr="00A85FEA">
        <w:rPr>
          <w:rFonts w:cs="Arial"/>
          <w:szCs w:val="22"/>
        </w:rPr>
        <w:t>El</w:t>
      </w:r>
      <w:r w:rsidR="00F53AB1" w:rsidRPr="00A85FEA">
        <w:rPr>
          <w:rFonts w:cs="Arial"/>
          <w:szCs w:val="22"/>
        </w:rPr>
        <w:t xml:space="preserve"> valor en libros y la depreciación acumulada, incluyendo las pérdidas por deterioro del valor acumuladas, al principio y final del periodo contable;</w:t>
      </w:r>
    </w:p>
    <w:p w14:paraId="29AE53AB" w14:textId="77777777" w:rsidR="00F53AB1" w:rsidRPr="00A85FEA" w:rsidRDefault="00F53AB1" w:rsidP="0091167A">
      <w:pPr>
        <w:jc w:val="both"/>
        <w:rPr>
          <w:rFonts w:cs="Arial"/>
          <w:szCs w:val="22"/>
        </w:rPr>
      </w:pPr>
    </w:p>
    <w:p w14:paraId="1FCC7EA5" w14:textId="77777777" w:rsidR="00F53AB1" w:rsidRPr="00A85FEA" w:rsidRDefault="0091167A" w:rsidP="0091167A">
      <w:pPr>
        <w:jc w:val="both"/>
        <w:rPr>
          <w:rFonts w:cs="Arial"/>
          <w:szCs w:val="22"/>
        </w:rPr>
      </w:pPr>
      <w:r w:rsidRPr="00A85FEA">
        <w:rPr>
          <w:rFonts w:cs="Arial"/>
          <w:szCs w:val="22"/>
        </w:rPr>
        <w:t>Una</w:t>
      </w:r>
      <w:r w:rsidR="00F53AB1" w:rsidRPr="00A85FEA">
        <w:rPr>
          <w:rFonts w:cs="Arial"/>
          <w:szCs w:val="22"/>
        </w:rPr>
        <w:t xml:space="preserve"> conciliación entre los valores en libros al principio y al final del periodo contable, que muestre por separado lo siguiente: adquisiciones, adiciones realizadas, disposiciones, retiros, reclasificaciones a otro tipo de activos.</w:t>
      </w:r>
    </w:p>
    <w:p w14:paraId="03234A46" w14:textId="77777777" w:rsidR="00F53AB1" w:rsidRPr="00A85FEA" w:rsidRDefault="00F53AB1" w:rsidP="0091167A">
      <w:pPr>
        <w:jc w:val="both"/>
        <w:rPr>
          <w:rFonts w:cs="Arial"/>
          <w:szCs w:val="22"/>
        </w:rPr>
      </w:pPr>
    </w:p>
    <w:p w14:paraId="7BE51A18" w14:textId="77777777" w:rsidR="00F53AB1" w:rsidRPr="00A85FEA" w:rsidRDefault="0091167A" w:rsidP="0091167A">
      <w:pPr>
        <w:jc w:val="both"/>
        <w:rPr>
          <w:rFonts w:cs="Arial"/>
          <w:szCs w:val="22"/>
        </w:rPr>
      </w:pPr>
      <w:r w:rsidRPr="00A85FEA">
        <w:rPr>
          <w:rFonts w:cs="Arial"/>
          <w:szCs w:val="22"/>
        </w:rPr>
        <w:t>El</w:t>
      </w:r>
      <w:r w:rsidR="00F53AB1" w:rsidRPr="00A85FEA">
        <w:rPr>
          <w:rFonts w:cs="Arial"/>
          <w:szCs w:val="22"/>
        </w:rPr>
        <w:t xml:space="preserve"> efecto en los resultados producto de la baja en cuentas de un elemento de propiedades, planta y equipo;</w:t>
      </w:r>
    </w:p>
    <w:p w14:paraId="1F27138B" w14:textId="77777777" w:rsidR="00F53AB1" w:rsidRPr="00A85FEA" w:rsidRDefault="00F53AB1" w:rsidP="0091167A">
      <w:pPr>
        <w:jc w:val="both"/>
        <w:rPr>
          <w:rFonts w:cs="Arial"/>
          <w:szCs w:val="22"/>
        </w:rPr>
      </w:pPr>
    </w:p>
    <w:p w14:paraId="3925799D" w14:textId="77777777" w:rsidR="00F53AB1" w:rsidRPr="00A85FEA" w:rsidRDefault="0091167A" w:rsidP="0091167A">
      <w:pPr>
        <w:jc w:val="both"/>
        <w:rPr>
          <w:rFonts w:cs="Arial"/>
          <w:szCs w:val="22"/>
        </w:rPr>
      </w:pPr>
      <w:r w:rsidRPr="00A85FEA">
        <w:rPr>
          <w:rFonts w:cs="Arial"/>
          <w:szCs w:val="22"/>
        </w:rPr>
        <w:t>El</w:t>
      </w:r>
      <w:r w:rsidR="00F53AB1" w:rsidRPr="00A85FEA">
        <w:rPr>
          <w:rFonts w:cs="Arial"/>
          <w:szCs w:val="22"/>
        </w:rPr>
        <w:t xml:space="preserve"> cambio en la estimación de la vida útil, así como el cambio en el método de depreciación;</w:t>
      </w:r>
    </w:p>
    <w:p w14:paraId="6DB745C3" w14:textId="77777777" w:rsidR="00F53AB1" w:rsidRPr="00A85FEA" w:rsidRDefault="00F53AB1" w:rsidP="0091167A">
      <w:pPr>
        <w:jc w:val="both"/>
        <w:rPr>
          <w:rFonts w:cs="Arial"/>
          <w:szCs w:val="22"/>
        </w:rPr>
      </w:pPr>
    </w:p>
    <w:p w14:paraId="2AFC3FDB" w14:textId="77777777" w:rsidR="00F53AB1" w:rsidRPr="00A85FEA" w:rsidRDefault="0091167A" w:rsidP="0091167A">
      <w:pPr>
        <w:jc w:val="both"/>
        <w:rPr>
          <w:rFonts w:cs="Arial"/>
          <w:szCs w:val="22"/>
        </w:rPr>
      </w:pPr>
      <w:r w:rsidRPr="00A85FEA">
        <w:rPr>
          <w:rFonts w:cs="Arial"/>
          <w:szCs w:val="22"/>
        </w:rPr>
        <w:t>El</w:t>
      </w:r>
      <w:r w:rsidR="00F53AB1" w:rsidRPr="00A85FEA">
        <w:rPr>
          <w:rFonts w:cs="Arial"/>
          <w:szCs w:val="22"/>
        </w:rPr>
        <w:t xml:space="preserve"> valor de las propiedades, planta y equipo en proceso de construcción, y el estado de avance y la fecha estimada de terminación;</w:t>
      </w:r>
    </w:p>
    <w:p w14:paraId="2A2A6B55" w14:textId="77777777" w:rsidR="00F53AB1" w:rsidRPr="00A85FEA" w:rsidRDefault="00F53AB1" w:rsidP="0091167A">
      <w:pPr>
        <w:jc w:val="both"/>
        <w:rPr>
          <w:rFonts w:cs="Arial"/>
          <w:szCs w:val="22"/>
        </w:rPr>
      </w:pPr>
    </w:p>
    <w:p w14:paraId="38646D40" w14:textId="77777777" w:rsidR="00F53AB1" w:rsidRPr="00A85FEA" w:rsidRDefault="0091167A" w:rsidP="0091167A">
      <w:pPr>
        <w:jc w:val="both"/>
        <w:rPr>
          <w:rFonts w:cs="Arial"/>
          <w:szCs w:val="22"/>
        </w:rPr>
      </w:pPr>
      <w:r w:rsidRPr="00A85FEA">
        <w:rPr>
          <w:rFonts w:cs="Arial"/>
          <w:szCs w:val="22"/>
        </w:rPr>
        <w:lastRenderedPageBreak/>
        <w:t>El</w:t>
      </w:r>
      <w:r w:rsidR="00F53AB1" w:rsidRPr="00A85FEA">
        <w:rPr>
          <w:rFonts w:cs="Arial"/>
          <w:szCs w:val="22"/>
        </w:rPr>
        <w:t xml:space="preserve"> valor en libros de las propiedades, planta y equipo cuya titularidad o derecho de dominio tenga alguna restricción o de aquellas que estén garantizando el cumplimiento de pasivos;</w:t>
      </w:r>
    </w:p>
    <w:p w14:paraId="7FC01420" w14:textId="77777777" w:rsidR="00F53AB1" w:rsidRPr="00A85FEA" w:rsidRDefault="00F53AB1" w:rsidP="0091167A">
      <w:pPr>
        <w:jc w:val="both"/>
        <w:rPr>
          <w:rFonts w:cs="Arial"/>
          <w:szCs w:val="22"/>
        </w:rPr>
      </w:pPr>
    </w:p>
    <w:p w14:paraId="06D114B4" w14:textId="77777777" w:rsidR="00F53AB1" w:rsidRPr="00A85FEA" w:rsidRDefault="0091167A" w:rsidP="0091167A">
      <w:pPr>
        <w:jc w:val="both"/>
        <w:rPr>
          <w:rFonts w:cs="Arial"/>
          <w:szCs w:val="22"/>
        </w:rPr>
      </w:pPr>
      <w:r w:rsidRPr="00A85FEA">
        <w:rPr>
          <w:rFonts w:cs="Arial"/>
          <w:szCs w:val="22"/>
        </w:rPr>
        <w:t>La</w:t>
      </w:r>
      <w:r w:rsidR="00F53AB1" w:rsidRPr="00A85FEA">
        <w:rPr>
          <w:rFonts w:cs="Arial"/>
          <w:szCs w:val="22"/>
        </w:rPr>
        <w:t xml:space="preserve"> información de bienes que se hayan reconocido como propiedades, planta y equipo o que se hayan retirado, por la tenencia del control, independientemente de la titularidad o derecho de dominio (esta información estará relacionada con: la entidad de la cual se reciben o a la cual se entregan, el monto, la descripción, la cantidad y la duración del contrato, cuando a ello haya lugar); </w:t>
      </w:r>
    </w:p>
    <w:p w14:paraId="1E13E149" w14:textId="77777777" w:rsidR="00F53AB1" w:rsidRPr="00A85FEA" w:rsidRDefault="00F53AB1" w:rsidP="00D87929">
      <w:pPr>
        <w:rPr>
          <w:rFonts w:cs="Arial"/>
          <w:szCs w:val="22"/>
        </w:rPr>
      </w:pPr>
    </w:p>
    <w:p w14:paraId="7BB66137" w14:textId="77777777" w:rsidR="00F53AB1" w:rsidRPr="00A85FEA" w:rsidRDefault="0091167A" w:rsidP="0091167A">
      <w:pPr>
        <w:jc w:val="both"/>
        <w:rPr>
          <w:rFonts w:cs="Arial"/>
          <w:szCs w:val="22"/>
        </w:rPr>
      </w:pPr>
      <w:r w:rsidRPr="00A85FEA">
        <w:rPr>
          <w:rFonts w:cs="Arial"/>
          <w:szCs w:val="22"/>
        </w:rPr>
        <w:t>El</w:t>
      </w:r>
      <w:r w:rsidR="00F53AB1" w:rsidRPr="00A85FEA">
        <w:rPr>
          <w:rFonts w:cs="Arial"/>
          <w:szCs w:val="22"/>
        </w:rPr>
        <w:t xml:space="preserve"> valor en libros de los elementos de propiedades, planta y equipo, que se encuentran temporalmente fuera de servicio; </w:t>
      </w:r>
    </w:p>
    <w:p w14:paraId="1EBC87EC" w14:textId="77777777" w:rsidR="00F53AB1" w:rsidRPr="00A85FEA" w:rsidRDefault="00F53AB1" w:rsidP="0091167A">
      <w:pPr>
        <w:jc w:val="both"/>
        <w:rPr>
          <w:rFonts w:cs="Arial"/>
          <w:szCs w:val="22"/>
        </w:rPr>
      </w:pPr>
    </w:p>
    <w:p w14:paraId="41B735D6" w14:textId="77777777" w:rsidR="00F53AB1" w:rsidRPr="00A85FEA" w:rsidRDefault="0091167A" w:rsidP="0091167A">
      <w:pPr>
        <w:rPr>
          <w:rFonts w:cs="Arial"/>
          <w:szCs w:val="22"/>
        </w:rPr>
      </w:pPr>
      <w:r w:rsidRPr="00A85FEA">
        <w:rPr>
          <w:rFonts w:cs="Arial"/>
          <w:szCs w:val="22"/>
        </w:rPr>
        <w:t>L</w:t>
      </w:r>
      <w:r w:rsidR="00F53AB1" w:rsidRPr="00A85FEA">
        <w:rPr>
          <w:rFonts w:cs="Arial"/>
          <w:szCs w:val="22"/>
        </w:rPr>
        <w:t>as propiedades, planta y equipo, adquiridas en una transacción sin contraprestación</w:t>
      </w:r>
      <w:r w:rsidRPr="00A85FEA">
        <w:rPr>
          <w:rFonts w:cs="Arial"/>
          <w:szCs w:val="22"/>
        </w:rPr>
        <w:t>.</w:t>
      </w:r>
    </w:p>
    <w:p w14:paraId="2C992910" w14:textId="77777777" w:rsidR="00F53AB1" w:rsidRPr="00A85FEA" w:rsidRDefault="00F53AB1" w:rsidP="0091167A">
      <w:pPr>
        <w:pStyle w:val="Ttulo1"/>
        <w:rPr>
          <w:rFonts w:ascii="Arial" w:hAnsi="Arial" w:cs="Arial"/>
          <w:color w:val="auto"/>
          <w:sz w:val="22"/>
          <w:szCs w:val="22"/>
        </w:rPr>
      </w:pPr>
      <w:bookmarkStart w:id="111" w:name="_Toc525721407"/>
      <w:r w:rsidRPr="00A85FEA">
        <w:rPr>
          <w:rFonts w:ascii="Arial" w:hAnsi="Arial" w:cs="Arial"/>
          <w:color w:val="auto"/>
          <w:sz w:val="22"/>
          <w:szCs w:val="22"/>
        </w:rPr>
        <w:t>6. POLÍTICA DE TRANSACCIONES TEMPORALES – ANTICIPOS</w:t>
      </w:r>
      <w:bookmarkEnd w:id="111"/>
      <w:r w:rsidRPr="00A85FEA">
        <w:rPr>
          <w:rFonts w:ascii="Arial" w:hAnsi="Arial" w:cs="Arial"/>
          <w:color w:val="auto"/>
          <w:sz w:val="22"/>
          <w:szCs w:val="22"/>
        </w:rPr>
        <w:t xml:space="preserve"> </w:t>
      </w:r>
    </w:p>
    <w:p w14:paraId="0AC907E2" w14:textId="77777777" w:rsidR="00F53AB1" w:rsidRPr="00A85FEA" w:rsidRDefault="00F53AB1" w:rsidP="0091167A">
      <w:pPr>
        <w:pStyle w:val="Ttulo1"/>
        <w:rPr>
          <w:rFonts w:ascii="Arial" w:hAnsi="Arial" w:cs="Arial"/>
          <w:color w:val="auto"/>
          <w:sz w:val="22"/>
          <w:szCs w:val="22"/>
        </w:rPr>
      </w:pPr>
      <w:bookmarkStart w:id="112" w:name="_Toc525721408"/>
      <w:r w:rsidRPr="00A85FEA">
        <w:rPr>
          <w:rFonts w:ascii="Arial" w:hAnsi="Arial" w:cs="Arial"/>
          <w:color w:val="auto"/>
          <w:sz w:val="22"/>
          <w:szCs w:val="22"/>
        </w:rPr>
        <w:t>6.1. Objetivo</w:t>
      </w:r>
      <w:bookmarkEnd w:id="112"/>
    </w:p>
    <w:p w14:paraId="5D401E00" w14:textId="77777777" w:rsidR="00F53AB1" w:rsidRPr="00A85FEA" w:rsidRDefault="00F53AB1" w:rsidP="00D87929">
      <w:pPr>
        <w:rPr>
          <w:rFonts w:cs="Arial"/>
          <w:szCs w:val="22"/>
        </w:rPr>
      </w:pPr>
    </w:p>
    <w:p w14:paraId="7FCBC8FA" w14:textId="77777777" w:rsidR="00F53AB1" w:rsidRPr="00A85FEA" w:rsidRDefault="00F53AB1" w:rsidP="00635268">
      <w:pPr>
        <w:jc w:val="both"/>
        <w:rPr>
          <w:rFonts w:cs="Arial"/>
          <w:strike/>
          <w:szCs w:val="22"/>
        </w:rPr>
      </w:pPr>
      <w:r w:rsidRPr="00A85FEA">
        <w:rPr>
          <w:rFonts w:cs="Arial"/>
          <w:szCs w:val="22"/>
        </w:rPr>
        <w:t xml:space="preserve">Establecer las bases necesarias para que la Corporación para el Desarrollo Sostenible del Norte y el Oriente Amazónico – CDA reconozca, mida, presente y revele de manera adecuada y conforme a la legislación vigente, los hechos económicos que se clasifican como anticipos entregados. </w:t>
      </w:r>
    </w:p>
    <w:p w14:paraId="47EA1D00" w14:textId="77777777" w:rsidR="00F53AB1" w:rsidRPr="00A85FEA" w:rsidRDefault="00F53AB1" w:rsidP="0091167A">
      <w:pPr>
        <w:pStyle w:val="Ttulo1"/>
        <w:rPr>
          <w:rFonts w:ascii="Arial" w:hAnsi="Arial" w:cs="Arial"/>
          <w:color w:val="auto"/>
          <w:sz w:val="22"/>
          <w:szCs w:val="22"/>
        </w:rPr>
      </w:pPr>
      <w:bookmarkStart w:id="113" w:name="_Toc525721409"/>
      <w:r w:rsidRPr="00A85FEA">
        <w:rPr>
          <w:rFonts w:ascii="Arial" w:hAnsi="Arial" w:cs="Arial"/>
          <w:color w:val="auto"/>
          <w:sz w:val="22"/>
          <w:szCs w:val="22"/>
        </w:rPr>
        <w:t>6.2. Normatividad relacionada</w:t>
      </w:r>
      <w:bookmarkEnd w:id="113"/>
    </w:p>
    <w:p w14:paraId="7B675E57" w14:textId="77777777" w:rsidR="00F53AB1" w:rsidRPr="00A85FEA" w:rsidRDefault="00F53AB1" w:rsidP="00D87929">
      <w:pPr>
        <w:rPr>
          <w:rFonts w:cs="Arial"/>
          <w:szCs w:val="22"/>
        </w:rPr>
      </w:pPr>
      <w:r w:rsidRPr="00A85FEA">
        <w:rPr>
          <w:rFonts w:cs="Arial"/>
          <w:szCs w:val="22"/>
        </w:rPr>
        <w:t xml:space="preserve">   </w:t>
      </w:r>
    </w:p>
    <w:p w14:paraId="479B2B89" w14:textId="77777777" w:rsidR="00F53AB1" w:rsidRPr="00A85FEA" w:rsidRDefault="00F53AB1" w:rsidP="00D87929">
      <w:pPr>
        <w:rPr>
          <w:rFonts w:cs="Arial"/>
          <w:szCs w:val="22"/>
        </w:rPr>
      </w:pPr>
      <w:r w:rsidRPr="00A85FEA">
        <w:rPr>
          <w:rFonts w:cs="Arial"/>
          <w:szCs w:val="22"/>
        </w:rPr>
        <w:t>Catálogo general de cuentas, Capitulo 2. Descripciones y dinámicas, Otros activos</w:t>
      </w:r>
    </w:p>
    <w:p w14:paraId="26E21165" w14:textId="77777777" w:rsidR="00F53AB1" w:rsidRPr="00A85FEA" w:rsidRDefault="00F53AB1" w:rsidP="0091167A">
      <w:pPr>
        <w:pStyle w:val="Ttulo1"/>
        <w:rPr>
          <w:rFonts w:ascii="Arial" w:hAnsi="Arial" w:cs="Arial"/>
          <w:color w:val="auto"/>
          <w:sz w:val="22"/>
          <w:szCs w:val="22"/>
        </w:rPr>
      </w:pPr>
      <w:bookmarkStart w:id="114" w:name="_Toc525721410"/>
      <w:r w:rsidRPr="00A85FEA">
        <w:rPr>
          <w:rFonts w:ascii="Arial" w:hAnsi="Arial" w:cs="Arial"/>
          <w:color w:val="auto"/>
          <w:sz w:val="22"/>
          <w:szCs w:val="22"/>
        </w:rPr>
        <w:t>6.3. Alcance</w:t>
      </w:r>
      <w:bookmarkEnd w:id="114"/>
    </w:p>
    <w:p w14:paraId="49C21560" w14:textId="77777777" w:rsidR="00F53AB1" w:rsidRPr="00A85FEA" w:rsidRDefault="00F53AB1" w:rsidP="00D87929">
      <w:pPr>
        <w:rPr>
          <w:rFonts w:cs="Arial"/>
          <w:szCs w:val="22"/>
        </w:rPr>
      </w:pPr>
    </w:p>
    <w:p w14:paraId="35BADADE" w14:textId="77777777" w:rsidR="00F53AB1" w:rsidRPr="00A85FEA" w:rsidRDefault="00F53AB1" w:rsidP="00635268">
      <w:pPr>
        <w:jc w:val="both"/>
        <w:rPr>
          <w:rFonts w:cs="Arial"/>
          <w:szCs w:val="22"/>
        </w:rPr>
      </w:pPr>
      <w:r w:rsidRPr="00A85FEA">
        <w:rPr>
          <w:rFonts w:cs="Arial"/>
          <w:szCs w:val="22"/>
        </w:rPr>
        <w:t xml:space="preserve">Esta política es abarca las transacciones clasificadas como avances y anticipos entregados en gastos de viaje y en la adquisición de bienes y servicios. </w:t>
      </w:r>
    </w:p>
    <w:p w14:paraId="5C6B4C11" w14:textId="77777777" w:rsidR="00F53AB1" w:rsidRPr="00A85FEA" w:rsidRDefault="00F53AB1" w:rsidP="00635268">
      <w:pPr>
        <w:jc w:val="both"/>
        <w:rPr>
          <w:rFonts w:cs="Arial"/>
          <w:szCs w:val="22"/>
        </w:rPr>
      </w:pPr>
    </w:p>
    <w:p w14:paraId="1B5204B7" w14:textId="77777777" w:rsidR="00F53AB1" w:rsidRPr="00A85FEA" w:rsidRDefault="00F53AB1" w:rsidP="0091167A">
      <w:pPr>
        <w:pStyle w:val="Ttulo1"/>
        <w:rPr>
          <w:rFonts w:ascii="Arial" w:hAnsi="Arial" w:cs="Arial"/>
          <w:color w:val="auto"/>
          <w:sz w:val="22"/>
          <w:szCs w:val="22"/>
        </w:rPr>
      </w:pPr>
      <w:bookmarkStart w:id="115" w:name="_Toc525721411"/>
      <w:r w:rsidRPr="00A85FEA">
        <w:rPr>
          <w:rFonts w:ascii="Arial" w:hAnsi="Arial" w:cs="Arial"/>
          <w:color w:val="auto"/>
          <w:sz w:val="22"/>
          <w:szCs w:val="22"/>
        </w:rPr>
        <w:t>6.4. Política Contable General</w:t>
      </w:r>
      <w:bookmarkEnd w:id="115"/>
    </w:p>
    <w:p w14:paraId="348BA078" w14:textId="77777777" w:rsidR="00F53AB1" w:rsidRPr="00A85FEA" w:rsidRDefault="00F53AB1" w:rsidP="00D87929">
      <w:pPr>
        <w:rPr>
          <w:rFonts w:cs="Arial"/>
          <w:szCs w:val="22"/>
        </w:rPr>
      </w:pPr>
    </w:p>
    <w:p w14:paraId="6B97FA13" w14:textId="77777777" w:rsidR="00F53AB1" w:rsidRPr="00A85FEA" w:rsidRDefault="00F53AB1" w:rsidP="00635268">
      <w:pPr>
        <w:jc w:val="both"/>
        <w:rPr>
          <w:rFonts w:cs="Arial"/>
          <w:szCs w:val="22"/>
        </w:rPr>
      </w:pPr>
      <w:r w:rsidRPr="00A85FEA">
        <w:rPr>
          <w:rFonts w:cs="Arial"/>
          <w:szCs w:val="22"/>
        </w:rPr>
        <w:lastRenderedPageBreak/>
        <w:t xml:space="preserve">Esta política aplica para los anticipos o avances que se entregan.  Estos anticipos al ser legalizados no incrementan el flujo de caja, sino el gasto por la legalización de los gastos de viaje, por la ejecución de los proyectos y adquisición de bienes y servicios. </w:t>
      </w:r>
    </w:p>
    <w:p w14:paraId="4061ACFA" w14:textId="77777777" w:rsidR="00F53AB1" w:rsidRPr="00A85FEA" w:rsidRDefault="00F53AB1" w:rsidP="002463AC">
      <w:pPr>
        <w:pStyle w:val="Ttulo1"/>
        <w:rPr>
          <w:rFonts w:ascii="Arial" w:hAnsi="Arial" w:cs="Arial"/>
          <w:color w:val="auto"/>
          <w:sz w:val="22"/>
          <w:szCs w:val="22"/>
          <w:lang w:eastAsia="es-CO"/>
        </w:rPr>
      </w:pPr>
      <w:bookmarkStart w:id="116" w:name="_Toc525721412"/>
      <w:r w:rsidRPr="00A85FEA">
        <w:rPr>
          <w:rFonts w:ascii="Arial" w:hAnsi="Arial" w:cs="Arial"/>
          <w:color w:val="auto"/>
          <w:sz w:val="22"/>
          <w:szCs w:val="22"/>
          <w:lang w:eastAsia="es-CO"/>
        </w:rPr>
        <w:t>6.5. Reconocimiento</w:t>
      </w:r>
      <w:bookmarkEnd w:id="116"/>
    </w:p>
    <w:p w14:paraId="7E35D93E" w14:textId="77777777" w:rsidR="00F53AB1" w:rsidRPr="00A85FEA" w:rsidRDefault="00F53AB1" w:rsidP="00D87929">
      <w:pPr>
        <w:rPr>
          <w:rFonts w:eastAsia="Calibri" w:cs="Arial"/>
          <w:szCs w:val="22"/>
          <w:highlight w:val="cyan"/>
        </w:rPr>
      </w:pPr>
    </w:p>
    <w:p w14:paraId="72DC2B56" w14:textId="77777777" w:rsidR="00F53AB1" w:rsidRPr="00A85FEA" w:rsidRDefault="00F53AB1" w:rsidP="00D87929">
      <w:pPr>
        <w:rPr>
          <w:rFonts w:cs="Arial"/>
          <w:szCs w:val="22"/>
          <w:highlight w:val="cyan"/>
          <w:lang w:eastAsia="es-CO"/>
        </w:rPr>
      </w:pPr>
      <w:r w:rsidRPr="00A85FEA">
        <w:rPr>
          <w:rFonts w:cs="Arial"/>
          <w:szCs w:val="22"/>
        </w:rPr>
        <w:t>Se reconocerán como avances y anticipos los valores entregados por la Corporación para el Desarrollo Sostenible del Norte y el Oriente Amazónico – CDA, en forma anticipada, a empleados, y contratistas para la obtención de bienes y servicios que están pendientes de legalización</w:t>
      </w:r>
      <w:r w:rsidRPr="00A85FEA">
        <w:rPr>
          <w:rFonts w:cs="Arial"/>
          <w:szCs w:val="22"/>
          <w:lang w:eastAsia="es-CO"/>
        </w:rPr>
        <w:t>.</w:t>
      </w:r>
    </w:p>
    <w:p w14:paraId="0377805A" w14:textId="77777777" w:rsidR="00F53AB1" w:rsidRPr="00A85FEA" w:rsidRDefault="00F53AB1" w:rsidP="002463AC">
      <w:pPr>
        <w:pStyle w:val="Ttulo1"/>
        <w:rPr>
          <w:rFonts w:ascii="Arial" w:hAnsi="Arial" w:cs="Arial"/>
          <w:color w:val="auto"/>
          <w:sz w:val="22"/>
          <w:szCs w:val="22"/>
          <w:lang w:eastAsia="es-CO"/>
        </w:rPr>
      </w:pPr>
      <w:bookmarkStart w:id="117" w:name="_Toc525721413"/>
      <w:r w:rsidRPr="00A85FEA">
        <w:rPr>
          <w:rFonts w:ascii="Arial" w:hAnsi="Arial" w:cs="Arial"/>
          <w:color w:val="auto"/>
          <w:sz w:val="22"/>
          <w:szCs w:val="22"/>
          <w:lang w:eastAsia="es-CO"/>
        </w:rPr>
        <w:t>6.6. Medición inicial</w:t>
      </w:r>
      <w:bookmarkEnd w:id="117"/>
    </w:p>
    <w:p w14:paraId="1A83A4C9" w14:textId="77777777" w:rsidR="00F53AB1" w:rsidRPr="00A85FEA" w:rsidRDefault="00F53AB1" w:rsidP="00D87929">
      <w:pPr>
        <w:rPr>
          <w:rFonts w:cs="Arial"/>
          <w:szCs w:val="22"/>
          <w:lang w:eastAsia="es-CO"/>
        </w:rPr>
      </w:pPr>
    </w:p>
    <w:p w14:paraId="47556D50" w14:textId="77777777" w:rsidR="00F53AB1" w:rsidRPr="00A85FEA" w:rsidRDefault="00F53AB1" w:rsidP="002463AC">
      <w:pPr>
        <w:jc w:val="both"/>
        <w:rPr>
          <w:rFonts w:cs="Arial"/>
          <w:szCs w:val="22"/>
          <w:lang w:eastAsia="es-CO"/>
        </w:rPr>
      </w:pPr>
      <w:r w:rsidRPr="00A85FEA">
        <w:rPr>
          <w:rFonts w:cs="Arial"/>
          <w:szCs w:val="22"/>
          <w:lang w:eastAsia="es-CO"/>
        </w:rPr>
        <w:t>La medición inicial de los anticipos se hace por el valor del efectivo desembolsado en forma anticipada.</w:t>
      </w:r>
    </w:p>
    <w:p w14:paraId="334F7C0A" w14:textId="77777777" w:rsidR="00F53AB1" w:rsidRPr="00A85FEA" w:rsidRDefault="00F53AB1" w:rsidP="002463AC">
      <w:pPr>
        <w:pStyle w:val="Ttulo1"/>
        <w:rPr>
          <w:rFonts w:ascii="Arial" w:hAnsi="Arial" w:cs="Arial"/>
          <w:color w:val="auto"/>
          <w:sz w:val="22"/>
          <w:szCs w:val="22"/>
          <w:lang w:eastAsia="es-CO"/>
        </w:rPr>
      </w:pPr>
      <w:bookmarkStart w:id="118" w:name="_Toc525721414"/>
      <w:r w:rsidRPr="00A85FEA">
        <w:rPr>
          <w:rFonts w:ascii="Arial" w:hAnsi="Arial" w:cs="Arial"/>
          <w:color w:val="auto"/>
          <w:sz w:val="22"/>
          <w:szCs w:val="22"/>
          <w:lang w:eastAsia="es-CO"/>
        </w:rPr>
        <w:t>6.7. Medición posterior</w:t>
      </w:r>
      <w:bookmarkEnd w:id="118"/>
    </w:p>
    <w:p w14:paraId="0B566DA4" w14:textId="77777777" w:rsidR="00F53AB1" w:rsidRPr="00A85FEA" w:rsidRDefault="00F53AB1" w:rsidP="00D87929">
      <w:pPr>
        <w:rPr>
          <w:rFonts w:cs="Arial"/>
          <w:szCs w:val="22"/>
          <w:lang w:eastAsia="es-CO"/>
        </w:rPr>
      </w:pPr>
    </w:p>
    <w:p w14:paraId="0DB8F689" w14:textId="77777777" w:rsidR="00F53AB1" w:rsidRPr="00A85FEA" w:rsidRDefault="00F53AB1" w:rsidP="002463AC">
      <w:pPr>
        <w:jc w:val="both"/>
        <w:rPr>
          <w:rFonts w:cs="Arial"/>
          <w:szCs w:val="22"/>
          <w:lang w:eastAsia="es-CO"/>
        </w:rPr>
      </w:pPr>
      <w:r w:rsidRPr="00A85FEA">
        <w:rPr>
          <w:rFonts w:cs="Arial"/>
          <w:szCs w:val="22"/>
          <w:lang w:eastAsia="es-CO"/>
        </w:rPr>
        <w:t xml:space="preserve">Con posterioridad al reconocimiento los anticipos y avances entregados se mantendrán por el valor de la transacción. </w:t>
      </w:r>
    </w:p>
    <w:p w14:paraId="0BD6A3F7" w14:textId="77777777" w:rsidR="00F53AB1" w:rsidRPr="00A85FEA" w:rsidRDefault="00F53AB1" w:rsidP="002463AC">
      <w:pPr>
        <w:pStyle w:val="Ttulo1"/>
        <w:rPr>
          <w:rFonts w:ascii="Arial" w:hAnsi="Arial" w:cs="Arial"/>
          <w:color w:val="auto"/>
          <w:sz w:val="22"/>
          <w:szCs w:val="22"/>
          <w:lang w:eastAsia="es-CO"/>
        </w:rPr>
      </w:pPr>
      <w:bookmarkStart w:id="119" w:name="_Toc525721415"/>
      <w:r w:rsidRPr="00A85FEA">
        <w:rPr>
          <w:rFonts w:ascii="Arial" w:hAnsi="Arial" w:cs="Arial"/>
          <w:color w:val="auto"/>
          <w:sz w:val="22"/>
          <w:szCs w:val="22"/>
          <w:lang w:eastAsia="es-CO"/>
        </w:rPr>
        <w:t>6.8. Gestión de riesgo</w:t>
      </w:r>
      <w:bookmarkEnd w:id="119"/>
    </w:p>
    <w:p w14:paraId="445CE511" w14:textId="77777777" w:rsidR="00F53AB1" w:rsidRPr="00A85FEA" w:rsidRDefault="00F53AB1" w:rsidP="00D87929">
      <w:pPr>
        <w:rPr>
          <w:rFonts w:cs="Arial"/>
          <w:szCs w:val="22"/>
          <w:lang w:eastAsia="es-CO"/>
        </w:rPr>
      </w:pPr>
    </w:p>
    <w:p w14:paraId="3ACC88B4" w14:textId="77777777" w:rsidR="00F53AB1" w:rsidRPr="00A85FEA" w:rsidRDefault="00F53AB1" w:rsidP="00D87929">
      <w:pPr>
        <w:rPr>
          <w:rFonts w:cs="Arial"/>
          <w:szCs w:val="22"/>
          <w:lang w:eastAsia="es-CO"/>
        </w:rPr>
      </w:pPr>
      <w:r w:rsidRPr="00A85FEA">
        <w:rPr>
          <w:rFonts w:cs="Arial"/>
          <w:szCs w:val="22"/>
          <w:lang w:eastAsia="es-CO"/>
        </w:rPr>
        <w:t xml:space="preserve">Que los anticipos no se legalicen </w:t>
      </w:r>
    </w:p>
    <w:p w14:paraId="53A53ED3" w14:textId="77777777" w:rsidR="00F53AB1" w:rsidRPr="00A85FEA" w:rsidRDefault="00F53AB1" w:rsidP="002463AC">
      <w:pPr>
        <w:pStyle w:val="Ttulo1"/>
        <w:rPr>
          <w:rFonts w:ascii="Arial" w:hAnsi="Arial" w:cs="Arial"/>
          <w:color w:val="auto"/>
          <w:sz w:val="22"/>
          <w:szCs w:val="22"/>
          <w:lang w:eastAsia="es-CO"/>
        </w:rPr>
      </w:pPr>
      <w:bookmarkStart w:id="120" w:name="_Toc525721416"/>
      <w:r w:rsidRPr="00A85FEA">
        <w:rPr>
          <w:rFonts w:ascii="Arial" w:hAnsi="Arial" w:cs="Arial"/>
          <w:color w:val="auto"/>
          <w:sz w:val="22"/>
          <w:szCs w:val="22"/>
          <w:lang w:eastAsia="es-CO"/>
        </w:rPr>
        <w:t>6.9. Controles Contables</w:t>
      </w:r>
      <w:bookmarkEnd w:id="120"/>
    </w:p>
    <w:p w14:paraId="056811E7" w14:textId="77777777" w:rsidR="00F53AB1" w:rsidRPr="00A85FEA" w:rsidRDefault="00F53AB1" w:rsidP="00D87929">
      <w:pPr>
        <w:rPr>
          <w:rFonts w:cs="Arial"/>
          <w:szCs w:val="22"/>
          <w:lang w:eastAsia="es-CO"/>
        </w:rPr>
      </w:pPr>
    </w:p>
    <w:p w14:paraId="048377F4" w14:textId="77777777" w:rsidR="00F53AB1" w:rsidRPr="00A85FEA" w:rsidRDefault="00F53AB1" w:rsidP="002463AC">
      <w:pPr>
        <w:jc w:val="both"/>
        <w:rPr>
          <w:rFonts w:cs="Arial"/>
          <w:szCs w:val="22"/>
          <w:lang w:eastAsia="es-CO"/>
        </w:rPr>
      </w:pPr>
      <w:r w:rsidRPr="00A85FEA">
        <w:rPr>
          <w:rFonts w:cs="Arial"/>
          <w:szCs w:val="22"/>
          <w:lang w:eastAsia="es-CO"/>
        </w:rPr>
        <w:t xml:space="preserve">Confirmar que los anticipos registrados correspondan a los proyectos y contratos que se encuentran en ejecución y gastos de viaje para </w:t>
      </w:r>
      <w:r w:rsidRPr="00A85FEA">
        <w:rPr>
          <w:rFonts w:cs="Arial"/>
          <w:szCs w:val="22"/>
        </w:rPr>
        <w:t>la Corporación para el Desarrollo Sostenible del Norte y el Oriente Amazónico – CDA</w:t>
      </w:r>
      <w:r w:rsidRPr="00A85FEA">
        <w:rPr>
          <w:rFonts w:cs="Arial"/>
          <w:szCs w:val="22"/>
          <w:lang w:eastAsia="es-CO"/>
        </w:rPr>
        <w:t>.</w:t>
      </w:r>
    </w:p>
    <w:p w14:paraId="429D857C" w14:textId="77777777" w:rsidR="00F53AB1" w:rsidRPr="00A85FEA" w:rsidRDefault="00F53AB1" w:rsidP="002463AC">
      <w:pPr>
        <w:jc w:val="both"/>
        <w:rPr>
          <w:rFonts w:cs="Arial"/>
          <w:szCs w:val="22"/>
          <w:lang w:eastAsia="es-CO"/>
        </w:rPr>
      </w:pPr>
    </w:p>
    <w:p w14:paraId="3016C894" w14:textId="77777777" w:rsidR="00F53AB1" w:rsidRPr="00A85FEA" w:rsidRDefault="00F53AB1" w:rsidP="002463AC">
      <w:pPr>
        <w:jc w:val="both"/>
        <w:rPr>
          <w:rFonts w:cs="Arial"/>
          <w:szCs w:val="22"/>
          <w:lang w:eastAsia="es-CO"/>
        </w:rPr>
      </w:pPr>
      <w:r w:rsidRPr="00A85FEA">
        <w:rPr>
          <w:rFonts w:cs="Arial"/>
          <w:szCs w:val="22"/>
          <w:lang w:eastAsia="es-CO"/>
        </w:rPr>
        <w:t>Garantizar la legalización de los anticipos con los soportes correspondientes como facturas o documentos equivalentes y/o cuentas de cobro.</w:t>
      </w:r>
    </w:p>
    <w:p w14:paraId="7519AA22" w14:textId="77777777" w:rsidR="00F53AB1" w:rsidRPr="00A85FEA" w:rsidRDefault="00F53AB1" w:rsidP="002463AC">
      <w:pPr>
        <w:pStyle w:val="Ttulo1"/>
        <w:rPr>
          <w:rFonts w:ascii="Arial" w:hAnsi="Arial" w:cs="Arial"/>
          <w:color w:val="auto"/>
          <w:sz w:val="22"/>
          <w:szCs w:val="22"/>
          <w:lang w:eastAsia="es-CO"/>
        </w:rPr>
      </w:pPr>
      <w:bookmarkStart w:id="121" w:name="_Toc525721417"/>
      <w:r w:rsidRPr="00A85FEA">
        <w:rPr>
          <w:rFonts w:ascii="Arial" w:hAnsi="Arial" w:cs="Arial"/>
          <w:color w:val="auto"/>
          <w:sz w:val="22"/>
          <w:szCs w:val="22"/>
          <w:lang w:eastAsia="es-CO"/>
        </w:rPr>
        <w:t>6.10. Revelaciones</w:t>
      </w:r>
      <w:bookmarkEnd w:id="121"/>
    </w:p>
    <w:p w14:paraId="74A0C86B" w14:textId="77777777" w:rsidR="00F53AB1" w:rsidRPr="00A85FEA" w:rsidRDefault="00F53AB1" w:rsidP="00D87929">
      <w:pPr>
        <w:rPr>
          <w:rFonts w:cs="Arial"/>
          <w:szCs w:val="22"/>
          <w:lang w:eastAsia="es-CO"/>
        </w:rPr>
      </w:pPr>
    </w:p>
    <w:p w14:paraId="5735AAA1" w14:textId="77777777" w:rsidR="00F53AB1" w:rsidRPr="00A85FEA" w:rsidRDefault="00F53AB1" w:rsidP="002463AC">
      <w:pPr>
        <w:jc w:val="both"/>
        <w:rPr>
          <w:rFonts w:cs="Arial"/>
          <w:szCs w:val="22"/>
        </w:rPr>
      </w:pPr>
      <w:r w:rsidRPr="00A85FEA">
        <w:rPr>
          <w:rFonts w:cs="Arial"/>
          <w:szCs w:val="22"/>
        </w:rPr>
        <w:lastRenderedPageBreak/>
        <w:t>La Corporación para el Desarrollo Sostenible del Norte y el Oriente Amazónico – CDA revelara el concepto a que correspondan los avances y anticipos entregados.</w:t>
      </w:r>
    </w:p>
    <w:p w14:paraId="40DFC2C5" w14:textId="77777777" w:rsidR="00F53AB1" w:rsidRPr="00A85FEA" w:rsidRDefault="00F53AB1" w:rsidP="002463AC">
      <w:pPr>
        <w:pStyle w:val="Ttulo1"/>
        <w:rPr>
          <w:rFonts w:ascii="Arial" w:hAnsi="Arial" w:cs="Arial"/>
          <w:color w:val="auto"/>
          <w:sz w:val="22"/>
          <w:szCs w:val="22"/>
        </w:rPr>
      </w:pPr>
      <w:bookmarkStart w:id="122" w:name="_Toc525721418"/>
      <w:r w:rsidRPr="00A85FEA">
        <w:rPr>
          <w:rFonts w:ascii="Arial" w:hAnsi="Arial" w:cs="Arial"/>
          <w:color w:val="auto"/>
          <w:sz w:val="22"/>
          <w:szCs w:val="22"/>
        </w:rPr>
        <w:t>7. ACTIVOS INTANGIBLES</w:t>
      </w:r>
      <w:bookmarkEnd w:id="122"/>
      <w:r w:rsidRPr="00A85FEA">
        <w:rPr>
          <w:rFonts w:ascii="Arial" w:hAnsi="Arial" w:cs="Arial"/>
          <w:color w:val="auto"/>
          <w:sz w:val="22"/>
          <w:szCs w:val="22"/>
        </w:rPr>
        <w:t xml:space="preserve"> </w:t>
      </w:r>
    </w:p>
    <w:p w14:paraId="633FE910" w14:textId="77777777" w:rsidR="00F53AB1" w:rsidRPr="00A85FEA" w:rsidRDefault="00F53AB1" w:rsidP="002463AC">
      <w:pPr>
        <w:pStyle w:val="Ttulo1"/>
        <w:rPr>
          <w:rFonts w:ascii="Arial" w:hAnsi="Arial" w:cs="Arial"/>
          <w:color w:val="auto"/>
          <w:sz w:val="22"/>
          <w:szCs w:val="22"/>
        </w:rPr>
      </w:pPr>
      <w:bookmarkStart w:id="123" w:name="_Toc525721419"/>
      <w:r w:rsidRPr="00A85FEA">
        <w:rPr>
          <w:rFonts w:ascii="Arial" w:hAnsi="Arial" w:cs="Arial"/>
          <w:color w:val="auto"/>
          <w:sz w:val="22"/>
          <w:szCs w:val="22"/>
        </w:rPr>
        <w:t>7.1. Objetivo</w:t>
      </w:r>
      <w:bookmarkEnd w:id="123"/>
    </w:p>
    <w:p w14:paraId="25DD016D" w14:textId="77777777" w:rsidR="00F53AB1" w:rsidRPr="00A85FEA" w:rsidRDefault="00F53AB1" w:rsidP="00D87929">
      <w:pPr>
        <w:rPr>
          <w:rFonts w:cs="Arial"/>
          <w:szCs w:val="22"/>
        </w:rPr>
      </w:pPr>
    </w:p>
    <w:p w14:paraId="2A8C7AAE" w14:textId="77777777" w:rsidR="00F53AB1" w:rsidRPr="00A85FEA" w:rsidRDefault="00F53AB1" w:rsidP="002463AC">
      <w:pPr>
        <w:jc w:val="both"/>
        <w:rPr>
          <w:rFonts w:cs="Arial"/>
          <w:szCs w:val="22"/>
        </w:rPr>
      </w:pPr>
      <w:r w:rsidRPr="00A85FEA">
        <w:rPr>
          <w:rFonts w:cs="Arial"/>
          <w:szCs w:val="22"/>
        </w:rPr>
        <w:t>Establecer los lineamientos para reconocer, medir, presentar y revelar los hechos económicos que cumplan con los criterios de un activo intangible.</w:t>
      </w:r>
    </w:p>
    <w:p w14:paraId="6A4B3502" w14:textId="77777777" w:rsidR="00F53AB1" w:rsidRPr="00A85FEA" w:rsidRDefault="00F53AB1" w:rsidP="002463AC">
      <w:pPr>
        <w:pStyle w:val="Ttulo1"/>
        <w:rPr>
          <w:rFonts w:ascii="Arial" w:hAnsi="Arial" w:cs="Arial"/>
          <w:color w:val="auto"/>
          <w:sz w:val="22"/>
          <w:szCs w:val="22"/>
        </w:rPr>
      </w:pPr>
      <w:bookmarkStart w:id="124" w:name="_Toc525721420"/>
      <w:r w:rsidRPr="00A85FEA">
        <w:rPr>
          <w:rFonts w:ascii="Arial" w:hAnsi="Arial" w:cs="Arial"/>
          <w:color w:val="auto"/>
          <w:sz w:val="22"/>
          <w:szCs w:val="22"/>
        </w:rPr>
        <w:t>7.2. Normatividad relacionada</w:t>
      </w:r>
      <w:bookmarkEnd w:id="124"/>
    </w:p>
    <w:p w14:paraId="623D78B9" w14:textId="77777777" w:rsidR="00F53AB1" w:rsidRPr="00A85FEA" w:rsidRDefault="00F53AB1" w:rsidP="00D87929">
      <w:pPr>
        <w:rPr>
          <w:rFonts w:cs="Arial"/>
          <w:szCs w:val="22"/>
        </w:rPr>
      </w:pPr>
    </w:p>
    <w:p w14:paraId="6B4D39BB" w14:textId="77777777" w:rsidR="00F53AB1" w:rsidRPr="00A85FEA" w:rsidRDefault="00F53AB1" w:rsidP="002463AC">
      <w:pPr>
        <w:jc w:val="both"/>
        <w:rPr>
          <w:rFonts w:cs="Arial"/>
          <w:szCs w:val="22"/>
        </w:rPr>
      </w:pPr>
      <w:r w:rsidRPr="00A85FEA">
        <w:rPr>
          <w:rFonts w:cs="Arial"/>
          <w:szCs w:val="22"/>
        </w:rPr>
        <w:t>Normas para el Reconocimiento, Medición, Revelación y Presentación de los Hechos Económicos de las entidades de Gobierno, Capítulo I. Activos, Numeral 15. Activos intangibles.</w:t>
      </w:r>
    </w:p>
    <w:p w14:paraId="0CACA3B0" w14:textId="77777777" w:rsidR="00F53AB1" w:rsidRPr="00A85FEA" w:rsidRDefault="00F53AB1" w:rsidP="002463AC">
      <w:pPr>
        <w:pStyle w:val="Ttulo1"/>
        <w:rPr>
          <w:rFonts w:ascii="Arial" w:hAnsi="Arial" w:cs="Arial"/>
          <w:color w:val="auto"/>
          <w:sz w:val="22"/>
          <w:szCs w:val="22"/>
        </w:rPr>
      </w:pPr>
      <w:bookmarkStart w:id="125" w:name="_Toc525721421"/>
      <w:r w:rsidRPr="00A85FEA">
        <w:rPr>
          <w:rFonts w:ascii="Arial" w:hAnsi="Arial" w:cs="Arial"/>
          <w:color w:val="auto"/>
          <w:sz w:val="22"/>
          <w:szCs w:val="22"/>
        </w:rPr>
        <w:t>7.3. Alcance</w:t>
      </w:r>
      <w:bookmarkEnd w:id="125"/>
    </w:p>
    <w:p w14:paraId="56104804" w14:textId="77777777" w:rsidR="00F53AB1" w:rsidRPr="00A85FEA" w:rsidRDefault="00F53AB1" w:rsidP="00D87929">
      <w:pPr>
        <w:rPr>
          <w:rFonts w:cs="Arial"/>
          <w:szCs w:val="22"/>
        </w:rPr>
      </w:pPr>
    </w:p>
    <w:p w14:paraId="49A79A51" w14:textId="77777777" w:rsidR="00F53AB1" w:rsidRPr="00A85FEA" w:rsidRDefault="00F53AB1" w:rsidP="00D87929">
      <w:pPr>
        <w:rPr>
          <w:rFonts w:cs="Arial"/>
          <w:szCs w:val="22"/>
        </w:rPr>
      </w:pPr>
      <w:r w:rsidRPr="00A85FEA">
        <w:rPr>
          <w:rFonts w:cs="Arial"/>
          <w:szCs w:val="22"/>
        </w:rPr>
        <w:t>Esta política abarca los siguientes activos intangibles:</w:t>
      </w:r>
    </w:p>
    <w:p w14:paraId="3DD7FF9A" w14:textId="77777777" w:rsidR="00F53AB1" w:rsidRPr="00A85FEA" w:rsidRDefault="00F53AB1" w:rsidP="00D87929">
      <w:pPr>
        <w:rPr>
          <w:rFonts w:cs="Arial"/>
          <w:szCs w:val="22"/>
        </w:rPr>
      </w:pPr>
    </w:p>
    <w:p w14:paraId="2275792F" w14:textId="77777777" w:rsidR="00F53AB1" w:rsidRPr="00A85FEA" w:rsidRDefault="00F53AB1" w:rsidP="00D87929">
      <w:pPr>
        <w:rPr>
          <w:rFonts w:cs="Arial"/>
          <w:szCs w:val="22"/>
        </w:rPr>
      </w:pPr>
      <w:r w:rsidRPr="00A85FEA">
        <w:rPr>
          <w:rFonts w:cs="Arial"/>
          <w:szCs w:val="22"/>
        </w:rPr>
        <w:t>Marcas</w:t>
      </w:r>
    </w:p>
    <w:p w14:paraId="0FB6C96F" w14:textId="77777777" w:rsidR="00F53AB1" w:rsidRPr="00A85FEA" w:rsidRDefault="00F53AB1" w:rsidP="00D87929">
      <w:pPr>
        <w:rPr>
          <w:rFonts w:cs="Arial"/>
          <w:szCs w:val="22"/>
        </w:rPr>
      </w:pPr>
      <w:r w:rsidRPr="00A85FEA">
        <w:rPr>
          <w:rFonts w:cs="Arial"/>
          <w:szCs w:val="22"/>
        </w:rPr>
        <w:t>Patentes</w:t>
      </w:r>
    </w:p>
    <w:p w14:paraId="725A5421" w14:textId="77777777" w:rsidR="00F53AB1" w:rsidRPr="00A85FEA" w:rsidRDefault="00F53AB1" w:rsidP="00D87929">
      <w:pPr>
        <w:rPr>
          <w:rFonts w:cs="Arial"/>
          <w:szCs w:val="22"/>
        </w:rPr>
      </w:pPr>
      <w:r w:rsidRPr="00A85FEA">
        <w:rPr>
          <w:rFonts w:cs="Arial"/>
          <w:szCs w:val="22"/>
        </w:rPr>
        <w:t>Concesiones y franquicias</w:t>
      </w:r>
    </w:p>
    <w:p w14:paraId="0E5A67A8" w14:textId="77777777" w:rsidR="00F53AB1" w:rsidRPr="00A85FEA" w:rsidRDefault="00F53AB1" w:rsidP="00D87929">
      <w:pPr>
        <w:rPr>
          <w:rFonts w:cs="Arial"/>
          <w:szCs w:val="22"/>
        </w:rPr>
      </w:pPr>
      <w:r w:rsidRPr="00A85FEA">
        <w:rPr>
          <w:rFonts w:cs="Arial"/>
          <w:szCs w:val="22"/>
        </w:rPr>
        <w:t>Derechos</w:t>
      </w:r>
    </w:p>
    <w:p w14:paraId="3D4760A3" w14:textId="77777777" w:rsidR="00F53AB1" w:rsidRPr="00A85FEA" w:rsidRDefault="00F53AB1" w:rsidP="00D87929">
      <w:pPr>
        <w:rPr>
          <w:rFonts w:cs="Arial"/>
          <w:szCs w:val="22"/>
        </w:rPr>
      </w:pPr>
      <w:r w:rsidRPr="00A85FEA">
        <w:rPr>
          <w:rFonts w:cs="Arial"/>
          <w:szCs w:val="22"/>
        </w:rPr>
        <w:t>Licencias</w:t>
      </w:r>
    </w:p>
    <w:p w14:paraId="7653276D" w14:textId="77777777" w:rsidR="00F53AB1" w:rsidRPr="00A85FEA" w:rsidRDefault="00F53AB1" w:rsidP="00D87929">
      <w:pPr>
        <w:rPr>
          <w:rFonts w:cs="Arial"/>
          <w:szCs w:val="22"/>
        </w:rPr>
      </w:pPr>
      <w:r w:rsidRPr="00A85FEA">
        <w:rPr>
          <w:rFonts w:cs="Arial"/>
          <w:szCs w:val="22"/>
        </w:rPr>
        <w:t>Activos intangibles en fase de desarrollo</w:t>
      </w:r>
    </w:p>
    <w:p w14:paraId="6F1C751C" w14:textId="77777777" w:rsidR="00F53AB1" w:rsidRPr="00A85FEA" w:rsidRDefault="00F53AB1" w:rsidP="00D87929">
      <w:pPr>
        <w:rPr>
          <w:rFonts w:cs="Arial"/>
          <w:szCs w:val="22"/>
        </w:rPr>
      </w:pPr>
      <w:r w:rsidRPr="00A85FEA">
        <w:rPr>
          <w:rFonts w:cs="Arial"/>
          <w:szCs w:val="22"/>
        </w:rPr>
        <w:t>Otros activos intangibles</w:t>
      </w:r>
    </w:p>
    <w:p w14:paraId="31C59E65" w14:textId="77777777" w:rsidR="00F53AB1" w:rsidRPr="00A85FEA" w:rsidRDefault="00F53AB1" w:rsidP="002463AC">
      <w:pPr>
        <w:pStyle w:val="Ttulo1"/>
        <w:rPr>
          <w:rFonts w:ascii="Arial" w:hAnsi="Arial" w:cs="Arial"/>
          <w:color w:val="auto"/>
          <w:sz w:val="22"/>
          <w:szCs w:val="22"/>
        </w:rPr>
      </w:pPr>
      <w:bookmarkStart w:id="126" w:name="_Toc525721422"/>
      <w:r w:rsidRPr="00A85FEA">
        <w:rPr>
          <w:rFonts w:ascii="Arial" w:hAnsi="Arial" w:cs="Arial"/>
          <w:color w:val="auto"/>
          <w:sz w:val="22"/>
          <w:szCs w:val="22"/>
        </w:rPr>
        <w:t>7.4. Política Contable General</w:t>
      </w:r>
      <w:bookmarkEnd w:id="126"/>
    </w:p>
    <w:p w14:paraId="055A5FD6" w14:textId="77777777" w:rsidR="00F53AB1" w:rsidRPr="00A85FEA" w:rsidRDefault="00F53AB1" w:rsidP="00D87929">
      <w:pPr>
        <w:rPr>
          <w:rFonts w:cs="Arial"/>
          <w:szCs w:val="22"/>
        </w:rPr>
      </w:pPr>
    </w:p>
    <w:p w14:paraId="771B51BB" w14:textId="77777777" w:rsidR="00F53AB1" w:rsidRPr="00A85FEA" w:rsidRDefault="00F53AB1" w:rsidP="002463AC">
      <w:pPr>
        <w:jc w:val="both"/>
        <w:rPr>
          <w:rFonts w:cs="Arial"/>
          <w:szCs w:val="22"/>
        </w:rPr>
      </w:pPr>
      <w:r w:rsidRPr="00A85FEA">
        <w:rPr>
          <w:rFonts w:cs="Arial"/>
          <w:szCs w:val="22"/>
        </w:rPr>
        <w:t>Esta política aplica para los activos intangibles de la Corporación para el Desarrollo Sostenible del Norte y el Oriente Amazónico – CDA cumpla con los siguientes criterios:</w:t>
      </w:r>
    </w:p>
    <w:p w14:paraId="6E1B6D97" w14:textId="77777777" w:rsidR="00F53AB1" w:rsidRPr="00A85FEA" w:rsidRDefault="00F53AB1" w:rsidP="00D87929">
      <w:pPr>
        <w:rPr>
          <w:rFonts w:cs="Arial"/>
          <w:szCs w:val="22"/>
        </w:rPr>
      </w:pPr>
    </w:p>
    <w:p w14:paraId="2D482108" w14:textId="77777777" w:rsidR="00F53AB1" w:rsidRPr="00A85FEA" w:rsidRDefault="00F53AB1" w:rsidP="00D87929">
      <w:pPr>
        <w:rPr>
          <w:rFonts w:cs="Arial"/>
          <w:szCs w:val="22"/>
        </w:rPr>
      </w:pPr>
      <w:r w:rsidRPr="00A85FEA">
        <w:rPr>
          <w:rFonts w:cs="Arial"/>
          <w:szCs w:val="22"/>
        </w:rPr>
        <w:t xml:space="preserve">7.4.1. Que sea identificable </w:t>
      </w:r>
    </w:p>
    <w:p w14:paraId="43280E64" w14:textId="77777777" w:rsidR="00F53AB1" w:rsidRPr="00A85FEA" w:rsidRDefault="00F53AB1" w:rsidP="00D87929">
      <w:pPr>
        <w:rPr>
          <w:rFonts w:cs="Arial"/>
          <w:szCs w:val="22"/>
        </w:rPr>
      </w:pPr>
    </w:p>
    <w:p w14:paraId="72BCEE0A" w14:textId="77777777" w:rsidR="00F53AB1" w:rsidRPr="00A85FEA" w:rsidRDefault="00F53AB1" w:rsidP="000605CF">
      <w:pPr>
        <w:jc w:val="both"/>
        <w:rPr>
          <w:rFonts w:cs="Arial"/>
          <w:szCs w:val="22"/>
        </w:rPr>
      </w:pPr>
      <w:r w:rsidRPr="00A85FEA">
        <w:rPr>
          <w:rFonts w:cs="Arial"/>
          <w:szCs w:val="22"/>
        </w:rPr>
        <w:t xml:space="preserve">Un activo intangible es identificable cuando es susceptible de separarse de la entidad y, en consecuencia, venderse, transferirse, entregarse en explotación, arrendarse o intercambiarse, ya sea individualmente, o junto con otros activos identificables o pasivos </w:t>
      </w:r>
      <w:r w:rsidRPr="00A85FEA">
        <w:rPr>
          <w:rFonts w:cs="Arial"/>
          <w:szCs w:val="22"/>
        </w:rPr>
        <w:lastRenderedPageBreak/>
        <w:t xml:space="preserve">con los que guarde relación, independientemente de que la entidad tenga o no la intención de llevar a cabo la separación. Un activo intangible también es identificable cuando surge de acuerdos vinculantes incluyendo derechos contractuales u otros derechos legales. </w:t>
      </w:r>
    </w:p>
    <w:p w14:paraId="5504DC0F" w14:textId="77777777" w:rsidR="00F53AB1" w:rsidRPr="00A85FEA" w:rsidRDefault="00F53AB1" w:rsidP="00D87929">
      <w:pPr>
        <w:rPr>
          <w:rFonts w:cs="Arial"/>
          <w:szCs w:val="22"/>
        </w:rPr>
      </w:pPr>
    </w:p>
    <w:p w14:paraId="367B10FA" w14:textId="77777777" w:rsidR="00F53AB1" w:rsidRPr="00A85FEA" w:rsidRDefault="00F53AB1" w:rsidP="00D87929">
      <w:pPr>
        <w:rPr>
          <w:rFonts w:cs="Arial"/>
          <w:szCs w:val="22"/>
        </w:rPr>
      </w:pPr>
      <w:r w:rsidRPr="00A85FEA">
        <w:rPr>
          <w:rFonts w:cs="Arial"/>
          <w:szCs w:val="22"/>
        </w:rPr>
        <w:t xml:space="preserve">7.4.2. Que tenga el control </w:t>
      </w:r>
    </w:p>
    <w:p w14:paraId="2A472562" w14:textId="77777777" w:rsidR="00F53AB1" w:rsidRPr="00A85FEA" w:rsidRDefault="00F53AB1" w:rsidP="00D87929">
      <w:pPr>
        <w:rPr>
          <w:rFonts w:cs="Arial"/>
          <w:szCs w:val="22"/>
        </w:rPr>
      </w:pPr>
    </w:p>
    <w:p w14:paraId="0671DCEC" w14:textId="77777777" w:rsidR="00F53AB1" w:rsidRPr="00A85FEA" w:rsidRDefault="00F53AB1" w:rsidP="000605CF">
      <w:pPr>
        <w:jc w:val="both"/>
        <w:rPr>
          <w:rFonts w:cs="Arial"/>
          <w:szCs w:val="22"/>
        </w:rPr>
      </w:pPr>
      <w:r w:rsidRPr="00A85FEA">
        <w:rPr>
          <w:rFonts w:cs="Arial"/>
          <w:szCs w:val="22"/>
        </w:rPr>
        <w:t>La entidad controla un activo intangible cuando puede obtener los beneficios económicos futuros o el potencial de servicio de los recursos derivados de este y puede restringir el acceso de terceras personas a tales beneficios o a dicho potencial de servicio. Un activo intangible produce beneficios económicos futuros o potencial de servicio cuando:</w:t>
      </w:r>
    </w:p>
    <w:p w14:paraId="593505AD" w14:textId="77777777" w:rsidR="00F53AB1" w:rsidRPr="00A85FEA" w:rsidRDefault="00F53AB1" w:rsidP="000605CF">
      <w:pPr>
        <w:jc w:val="both"/>
        <w:rPr>
          <w:rFonts w:cs="Arial"/>
          <w:szCs w:val="22"/>
        </w:rPr>
      </w:pPr>
    </w:p>
    <w:p w14:paraId="6227A3AC" w14:textId="77777777" w:rsidR="00F53AB1" w:rsidRPr="00A85FEA" w:rsidRDefault="000605CF" w:rsidP="000605CF">
      <w:pPr>
        <w:jc w:val="both"/>
        <w:rPr>
          <w:rFonts w:cs="Arial"/>
          <w:szCs w:val="22"/>
        </w:rPr>
      </w:pPr>
      <w:r w:rsidRPr="00A85FEA">
        <w:rPr>
          <w:rFonts w:cs="Arial"/>
          <w:szCs w:val="22"/>
        </w:rPr>
        <w:t>P</w:t>
      </w:r>
      <w:r w:rsidR="00F53AB1" w:rsidRPr="00A85FEA">
        <w:rPr>
          <w:rFonts w:cs="Arial"/>
          <w:szCs w:val="22"/>
        </w:rPr>
        <w:t>uede generar ingresos procedentes de la venta de bienes o servicios en los cuales se usa el activo intangible</w:t>
      </w:r>
    </w:p>
    <w:p w14:paraId="25BEF7EB" w14:textId="77777777" w:rsidR="00F53AB1" w:rsidRPr="00A85FEA" w:rsidRDefault="000605CF" w:rsidP="000605CF">
      <w:pPr>
        <w:jc w:val="both"/>
        <w:rPr>
          <w:rFonts w:cs="Arial"/>
          <w:szCs w:val="22"/>
        </w:rPr>
      </w:pPr>
      <w:r w:rsidRPr="00A85FEA">
        <w:rPr>
          <w:rFonts w:cs="Arial"/>
          <w:szCs w:val="22"/>
        </w:rPr>
        <w:t>Puede</w:t>
      </w:r>
      <w:r w:rsidR="00F53AB1" w:rsidRPr="00A85FEA">
        <w:rPr>
          <w:rFonts w:cs="Arial"/>
          <w:szCs w:val="22"/>
        </w:rPr>
        <w:t xml:space="preserve"> generar rendimientos diferentes de los derivados del uso del activo por parte de la entidad, </w:t>
      </w:r>
    </w:p>
    <w:p w14:paraId="2A39C492" w14:textId="77777777" w:rsidR="00F53AB1" w:rsidRPr="00A85FEA" w:rsidRDefault="000605CF" w:rsidP="000605CF">
      <w:pPr>
        <w:jc w:val="both"/>
        <w:rPr>
          <w:rFonts w:cs="Arial"/>
          <w:szCs w:val="22"/>
        </w:rPr>
      </w:pPr>
      <w:r w:rsidRPr="00A85FEA">
        <w:rPr>
          <w:rFonts w:cs="Arial"/>
          <w:szCs w:val="22"/>
        </w:rPr>
        <w:t>Le</w:t>
      </w:r>
      <w:r w:rsidR="00F53AB1" w:rsidRPr="00A85FEA">
        <w:rPr>
          <w:rFonts w:cs="Arial"/>
          <w:szCs w:val="22"/>
        </w:rPr>
        <w:t xml:space="preserve"> permite a la entidad disminuir sus costos o gastos de producción o de prestación de servicios, o le permite, a la entidad, mejorar la prestación de los servicios.</w:t>
      </w:r>
    </w:p>
    <w:p w14:paraId="0536D27C" w14:textId="77777777" w:rsidR="00F53AB1" w:rsidRPr="00A85FEA" w:rsidRDefault="00F53AB1" w:rsidP="00D87929">
      <w:pPr>
        <w:rPr>
          <w:rFonts w:cs="Arial"/>
          <w:szCs w:val="22"/>
        </w:rPr>
      </w:pPr>
    </w:p>
    <w:p w14:paraId="2335906D" w14:textId="77777777" w:rsidR="00F53AB1" w:rsidRPr="00A85FEA" w:rsidRDefault="00F53AB1" w:rsidP="00D87929">
      <w:pPr>
        <w:rPr>
          <w:rFonts w:cs="Arial"/>
          <w:szCs w:val="22"/>
        </w:rPr>
      </w:pPr>
      <w:r w:rsidRPr="00A85FEA">
        <w:rPr>
          <w:rFonts w:cs="Arial"/>
          <w:szCs w:val="22"/>
        </w:rPr>
        <w:t>7.4.3. Que pueda medirse fiablemente</w:t>
      </w:r>
    </w:p>
    <w:p w14:paraId="58F273F9" w14:textId="77777777" w:rsidR="00F53AB1" w:rsidRPr="00A85FEA" w:rsidRDefault="00F53AB1" w:rsidP="00D87929">
      <w:pPr>
        <w:rPr>
          <w:rFonts w:cs="Arial"/>
          <w:szCs w:val="22"/>
        </w:rPr>
      </w:pPr>
    </w:p>
    <w:p w14:paraId="6857F125" w14:textId="77777777" w:rsidR="00F53AB1" w:rsidRPr="00A85FEA" w:rsidRDefault="00F53AB1" w:rsidP="00D87929">
      <w:pPr>
        <w:rPr>
          <w:rFonts w:cs="Arial"/>
          <w:szCs w:val="22"/>
        </w:rPr>
      </w:pPr>
      <w:r w:rsidRPr="00A85FEA">
        <w:rPr>
          <w:rFonts w:cs="Arial"/>
          <w:szCs w:val="22"/>
        </w:rPr>
        <w:t>La medición de un activo intangible es fiable cuando existe evidencia de transacciones para el activo u otros similares, o cuando la estimación del valor depende de variables que se pueden medir en términos monetarios.</w:t>
      </w:r>
    </w:p>
    <w:p w14:paraId="10CB028B" w14:textId="77777777" w:rsidR="00F53AB1" w:rsidRPr="00A85FEA" w:rsidRDefault="00F53AB1" w:rsidP="007B5BC0">
      <w:pPr>
        <w:pStyle w:val="Ttulo1"/>
        <w:rPr>
          <w:rFonts w:ascii="Arial" w:hAnsi="Arial" w:cs="Arial"/>
          <w:color w:val="auto"/>
          <w:sz w:val="22"/>
          <w:szCs w:val="22"/>
        </w:rPr>
      </w:pPr>
      <w:bookmarkStart w:id="127" w:name="_Toc525721423"/>
      <w:r w:rsidRPr="00A85FEA">
        <w:rPr>
          <w:rFonts w:ascii="Arial" w:hAnsi="Arial" w:cs="Arial"/>
          <w:color w:val="auto"/>
          <w:sz w:val="22"/>
          <w:szCs w:val="22"/>
        </w:rPr>
        <w:t>7.5. Reconocimiento</w:t>
      </w:r>
      <w:bookmarkEnd w:id="127"/>
    </w:p>
    <w:p w14:paraId="572D49C3" w14:textId="77777777" w:rsidR="00F53AB1" w:rsidRPr="00A85FEA" w:rsidRDefault="00F53AB1" w:rsidP="00D87929">
      <w:pPr>
        <w:rPr>
          <w:rFonts w:cs="Arial"/>
          <w:szCs w:val="22"/>
        </w:rPr>
      </w:pPr>
    </w:p>
    <w:p w14:paraId="7F73B1AD" w14:textId="77777777" w:rsidR="00F53AB1" w:rsidRPr="00A85FEA" w:rsidRDefault="00F53AB1" w:rsidP="007B5BC0">
      <w:pPr>
        <w:jc w:val="both"/>
        <w:rPr>
          <w:rFonts w:cs="Arial"/>
          <w:szCs w:val="22"/>
        </w:rPr>
      </w:pPr>
      <w:r w:rsidRPr="00A85FEA">
        <w:rPr>
          <w:rFonts w:cs="Arial"/>
          <w:szCs w:val="22"/>
        </w:rPr>
        <w:t>Se reconocerán como activos intangibles, los recursos identificables, de carácter no monetario y sin apariencia física, sobre los cuales la entidad tiene el control, espera obtener beneficios económicos futuros o potencial de servicio, y puede realizar mediciones fiables. Estos activos se caracterizan porque no se espera venderlos en el curso de las actividades de la entidad y se prevé usarlos durante más de un periodo contable, que sean identificables, que la entidad tenga el control y que se puedan medir con fiabilidad.</w:t>
      </w:r>
    </w:p>
    <w:p w14:paraId="14743302" w14:textId="77777777" w:rsidR="00F53AB1" w:rsidRPr="00A85FEA" w:rsidRDefault="00F53AB1" w:rsidP="007B5BC0">
      <w:pPr>
        <w:jc w:val="both"/>
        <w:rPr>
          <w:rFonts w:cs="Arial"/>
          <w:szCs w:val="22"/>
        </w:rPr>
      </w:pPr>
    </w:p>
    <w:p w14:paraId="48D5A2A0" w14:textId="77777777" w:rsidR="00F53AB1" w:rsidRPr="00A85FEA" w:rsidRDefault="00F53AB1" w:rsidP="007B5BC0">
      <w:pPr>
        <w:jc w:val="both"/>
        <w:rPr>
          <w:rFonts w:cs="Arial"/>
          <w:szCs w:val="22"/>
        </w:rPr>
      </w:pPr>
      <w:r w:rsidRPr="00A85FEA">
        <w:rPr>
          <w:rFonts w:cs="Arial"/>
          <w:szCs w:val="22"/>
        </w:rPr>
        <w:t>La entidad no reconocerá activos intangibles generados internamente, excepto cuando estos sean producto de una fase de desarrollo. En consecuencia, para esta clase de activos intangibles, la entidad identificará qué desembolsos hacen parte de la fase de investigación y cuáles corresponden a la fase de desarrollo.</w:t>
      </w:r>
    </w:p>
    <w:p w14:paraId="46CCB83B" w14:textId="77777777" w:rsidR="00F53AB1" w:rsidRPr="00A85FEA" w:rsidRDefault="00F53AB1" w:rsidP="007B5BC0">
      <w:pPr>
        <w:jc w:val="both"/>
        <w:rPr>
          <w:rFonts w:cs="Arial"/>
          <w:szCs w:val="22"/>
        </w:rPr>
      </w:pPr>
    </w:p>
    <w:p w14:paraId="36C47CB0" w14:textId="77777777" w:rsidR="00F53AB1" w:rsidRPr="00A85FEA" w:rsidRDefault="00F53AB1" w:rsidP="00D87929">
      <w:pPr>
        <w:rPr>
          <w:rFonts w:cs="Arial"/>
          <w:szCs w:val="22"/>
        </w:rPr>
      </w:pPr>
    </w:p>
    <w:p w14:paraId="2AF029D4" w14:textId="77777777" w:rsidR="00F53AB1" w:rsidRPr="00A85FEA" w:rsidRDefault="00F53AB1" w:rsidP="00D87929">
      <w:pPr>
        <w:rPr>
          <w:rFonts w:cs="Arial"/>
          <w:szCs w:val="22"/>
        </w:rPr>
      </w:pPr>
    </w:p>
    <w:p w14:paraId="5A818534" w14:textId="77777777" w:rsidR="00F53AB1" w:rsidRPr="00A85FEA" w:rsidRDefault="00F53AB1" w:rsidP="00D87929">
      <w:pPr>
        <w:rPr>
          <w:rFonts w:cs="Arial"/>
          <w:szCs w:val="22"/>
        </w:rPr>
      </w:pPr>
      <w:r w:rsidRPr="00A85FEA">
        <w:rPr>
          <w:rFonts w:cs="Arial"/>
          <w:szCs w:val="22"/>
        </w:rPr>
        <w:lastRenderedPageBreak/>
        <w:t xml:space="preserve">7.5.1. Fase de investigación </w:t>
      </w:r>
    </w:p>
    <w:p w14:paraId="35DFF7E7" w14:textId="77777777" w:rsidR="00F53AB1" w:rsidRPr="00A85FEA" w:rsidRDefault="00F53AB1" w:rsidP="00D87929">
      <w:pPr>
        <w:rPr>
          <w:rFonts w:cs="Arial"/>
          <w:szCs w:val="22"/>
        </w:rPr>
      </w:pPr>
    </w:p>
    <w:p w14:paraId="6C3634DA" w14:textId="77777777" w:rsidR="00F53AB1" w:rsidRPr="00A85FEA" w:rsidRDefault="00F53AB1" w:rsidP="007B5BC0">
      <w:pPr>
        <w:jc w:val="both"/>
        <w:rPr>
          <w:rFonts w:cs="Arial"/>
          <w:szCs w:val="22"/>
        </w:rPr>
      </w:pPr>
      <w:r w:rsidRPr="00A85FEA">
        <w:rPr>
          <w:rFonts w:cs="Arial"/>
          <w:szCs w:val="22"/>
        </w:rPr>
        <w:t xml:space="preserve">La fase de investigación comprende todo aquel estudio original y planificado que realiza la entidad con la finalidad de obtener nuevos conocimientos científicos o tecnológicos. </w:t>
      </w:r>
    </w:p>
    <w:p w14:paraId="76968A86" w14:textId="77777777" w:rsidR="00F53AB1" w:rsidRPr="00A85FEA" w:rsidRDefault="00F53AB1" w:rsidP="00D87929">
      <w:pPr>
        <w:rPr>
          <w:rFonts w:cs="Arial"/>
          <w:szCs w:val="22"/>
        </w:rPr>
      </w:pPr>
    </w:p>
    <w:p w14:paraId="084D3649" w14:textId="77777777" w:rsidR="00F53AB1" w:rsidRPr="00A85FEA" w:rsidRDefault="00F53AB1" w:rsidP="00D87929">
      <w:pPr>
        <w:rPr>
          <w:rFonts w:cs="Arial"/>
          <w:szCs w:val="22"/>
        </w:rPr>
      </w:pPr>
      <w:r w:rsidRPr="00A85FEA">
        <w:rPr>
          <w:rFonts w:cs="Arial"/>
          <w:szCs w:val="22"/>
        </w:rPr>
        <w:t>7.5.2. Fase de desarrollo</w:t>
      </w:r>
    </w:p>
    <w:p w14:paraId="15284EE3" w14:textId="77777777" w:rsidR="00F53AB1" w:rsidRPr="00A85FEA" w:rsidRDefault="00F53AB1" w:rsidP="00D87929">
      <w:pPr>
        <w:rPr>
          <w:rFonts w:cs="Arial"/>
          <w:szCs w:val="22"/>
        </w:rPr>
      </w:pPr>
    </w:p>
    <w:p w14:paraId="46670F10" w14:textId="77777777" w:rsidR="00F53AB1" w:rsidRPr="00A85FEA" w:rsidRDefault="00F53AB1" w:rsidP="007B5BC0">
      <w:pPr>
        <w:jc w:val="both"/>
        <w:rPr>
          <w:rFonts w:cs="Arial"/>
          <w:szCs w:val="22"/>
        </w:rPr>
      </w:pPr>
      <w:r w:rsidRPr="00A85FEA">
        <w:rPr>
          <w:rFonts w:cs="Arial"/>
          <w:szCs w:val="22"/>
        </w:rPr>
        <w:t xml:space="preserve">La fase de desarrollo consiste en la aplicación de los resultados de la investigación (o de cualquier otro tipo de conocimiento científico) a un plan o diseño para la producción de sistemas nuevos o sustancialmente mejorados, materiales, productos, métodos o procesos, antes del comienzo de su producción o utilización comercial. </w:t>
      </w:r>
    </w:p>
    <w:p w14:paraId="7AB9C648" w14:textId="77777777" w:rsidR="00F53AB1" w:rsidRPr="00A85FEA" w:rsidRDefault="00F53AB1" w:rsidP="00D87929">
      <w:pPr>
        <w:rPr>
          <w:rFonts w:cs="Arial"/>
          <w:szCs w:val="22"/>
        </w:rPr>
      </w:pPr>
    </w:p>
    <w:p w14:paraId="43F8A075" w14:textId="77777777" w:rsidR="00F53AB1" w:rsidRPr="00A85FEA" w:rsidRDefault="00F53AB1" w:rsidP="007B5BC0">
      <w:pPr>
        <w:jc w:val="both"/>
        <w:rPr>
          <w:rFonts w:cs="Arial"/>
          <w:szCs w:val="22"/>
        </w:rPr>
      </w:pPr>
      <w:r w:rsidRPr="00A85FEA">
        <w:rPr>
          <w:rFonts w:cs="Arial"/>
          <w:szCs w:val="22"/>
        </w:rPr>
        <w:t xml:space="preserve">Los desembolsos que se realicen en la fase de desarrollo se reconocerán como activos intangibles si la entidad puede demostrar lo siguiente: </w:t>
      </w:r>
    </w:p>
    <w:p w14:paraId="34307C5A" w14:textId="77777777" w:rsidR="00F53AB1" w:rsidRPr="00A85FEA" w:rsidRDefault="00F53AB1" w:rsidP="007B5BC0">
      <w:pPr>
        <w:jc w:val="both"/>
        <w:rPr>
          <w:rFonts w:cs="Arial"/>
          <w:szCs w:val="22"/>
        </w:rPr>
      </w:pPr>
    </w:p>
    <w:p w14:paraId="431F45FD" w14:textId="77777777" w:rsidR="00F53AB1" w:rsidRPr="00A85FEA" w:rsidRDefault="007B5BC0" w:rsidP="007B5BC0">
      <w:pPr>
        <w:jc w:val="both"/>
        <w:rPr>
          <w:rFonts w:cs="Arial"/>
          <w:szCs w:val="22"/>
        </w:rPr>
      </w:pPr>
      <w:r w:rsidRPr="00A85FEA">
        <w:rPr>
          <w:rFonts w:cs="Arial"/>
          <w:szCs w:val="22"/>
        </w:rPr>
        <w:t>S</w:t>
      </w:r>
      <w:r w:rsidR="00F53AB1" w:rsidRPr="00A85FEA">
        <w:rPr>
          <w:rFonts w:cs="Arial"/>
          <w:szCs w:val="22"/>
        </w:rPr>
        <w:t xml:space="preserve">u posibilidad técnica para completar la producción del activo intangible de forma que pueda estar disponible para su utilización o su venta; </w:t>
      </w:r>
    </w:p>
    <w:p w14:paraId="21CCC4B7" w14:textId="77777777" w:rsidR="00F53AB1" w:rsidRPr="00A85FEA" w:rsidRDefault="007B5BC0" w:rsidP="007B5BC0">
      <w:pPr>
        <w:jc w:val="both"/>
        <w:rPr>
          <w:rFonts w:cs="Arial"/>
          <w:szCs w:val="22"/>
        </w:rPr>
      </w:pPr>
      <w:r w:rsidRPr="00A85FEA">
        <w:rPr>
          <w:rFonts w:cs="Arial"/>
          <w:szCs w:val="22"/>
        </w:rPr>
        <w:t>S</w:t>
      </w:r>
      <w:r w:rsidR="00F53AB1" w:rsidRPr="00A85FEA">
        <w:rPr>
          <w:rFonts w:cs="Arial"/>
          <w:szCs w:val="22"/>
        </w:rPr>
        <w:t xml:space="preserve">u intención de completar el activo intangible para usarlo o venderlo; </w:t>
      </w:r>
    </w:p>
    <w:p w14:paraId="47A37719" w14:textId="77777777" w:rsidR="00F53AB1" w:rsidRPr="00A85FEA" w:rsidRDefault="007B5BC0" w:rsidP="007B5BC0">
      <w:pPr>
        <w:jc w:val="both"/>
        <w:rPr>
          <w:rFonts w:cs="Arial"/>
          <w:szCs w:val="22"/>
        </w:rPr>
      </w:pPr>
      <w:r w:rsidRPr="00A85FEA">
        <w:rPr>
          <w:rFonts w:cs="Arial"/>
          <w:szCs w:val="22"/>
        </w:rPr>
        <w:t>S</w:t>
      </w:r>
      <w:r w:rsidR="00F53AB1" w:rsidRPr="00A85FEA">
        <w:rPr>
          <w:rFonts w:cs="Arial"/>
          <w:szCs w:val="22"/>
        </w:rPr>
        <w:t xml:space="preserve">u capacidad para utilizar o vender el activo intangible; </w:t>
      </w:r>
    </w:p>
    <w:p w14:paraId="651CD305" w14:textId="77777777" w:rsidR="00F53AB1" w:rsidRPr="00A85FEA" w:rsidRDefault="007B5BC0" w:rsidP="007B5BC0">
      <w:pPr>
        <w:jc w:val="both"/>
        <w:rPr>
          <w:rFonts w:cs="Arial"/>
          <w:szCs w:val="22"/>
        </w:rPr>
      </w:pPr>
      <w:r w:rsidRPr="00A85FEA">
        <w:rPr>
          <w:rFonts w:cs="Arial"/>
          <w:szCs w:val="22"/>
        </w:rPr>
        <w:t>S</w:t>
      </w:r>
      <w:r w:rsidR="00F53AB1" w:rsidRPr="00A85FEA">
        <w:rPr>
          <w:rFonts w:cs="Arial"/>
          <w:szCs w:val="22"/>
        </w:rPr>
        <w:t xml:space="preserve">u disponibilidad de recursos técnicos, financieros o de otro tipo para completar el desarrollo y para utilizar o vender el activo intangible; </w:t>
      </w:r>
    </w:p>
    <w:p w14:paraId="1DD857F6" w14:textId="77777777" w:rsidR="00F53AB1" w:rsidRPr="00A85FEA" w:rsidRDefault="007B5BC0" w:rsidP="007B5BC0">
      <w:pPr>
        <w:jc w:val="both"/>
        <w:rPr>
          <w:rFonts w:cs="Arial"/>
          <w:szCs w:val="22"/>
        </w:rPr>
      </w:pPr>
      <w:r w:rsidRPr="00A85FEA">
        <w:rPr>
          <w:rFonts w:cs="Arial"/>
          <w:szCs w:val="22"/>
        </w:rPr>
        <w:t>S</w:t>
      </w:r>
      <w:r w:rsidR="00F53AB1" w:rsidRPr="00A85FEA">
        <w:rPr>
          <w:rFonts w:cs="Arial"/>
          <w:szCs w:val="22"/>
        </w:rPr>
        <w:t xml:space="preserve">u capacidad para medir, de forma fiable, el desembolso atribuible al activo intangible durante su desarrollo; y </w:t>
      </w:r>
    </w:p>
    <w:p w14:paraId="0FB3367C" w14:textId="77777777" w:rsidR="00F53AB1" w:rsidRPr="00A85FEA" w:rsidRDefault="007B5BC0" w:rsidP="007B5BC0">
      <w:pPr>
        <w:jc w:val="both"/>
        <w:rPr>
          <w:rFonts w:cs="Arial"/>
          <w:szCs w:val="22"/>
        </w:rPr>
      </w:pPr>
      <w:r w:rsidRPr="00A85FEA">
        <w:rPr>
          <w:rFonts w:cs="Arial"/>
          <w:szCs w:val="22"/>
        </w:rPr>
        <w:t>L</w:t>
      </w:r>
      <w:r w:rsidR="00F53AB1" w:rsidRPr="00A85FEA">
        <w:rPr>
          <w:rFonts w:cs="Arial"/>
          <w:szCs w:val="22"/>
        </w:rPr>
        <w:t xml:space="preserve">a forma en que el activo intangible va a generar probables beneficios económicos futuros o potencial de servicio; demostrando, bien la existencia de un mercado para la producción que genere el activo intangible o para el activo en sí, o bien la utilidad que este le genere a la entidad en caso de que vaya a utilizarse internamente. </w:t>
      </w:r>
    </w:p>
    <w:p w14:paraId="693DFCC6" w14:textId="77777777" w:rsidR="00F53AB1" w:rsidRPr="00A85FEA" w:rsidRDefault="00F53AB1" w:rsidP="00D87929">
      <w:pPr>
        <w:rPr>
          <w:rFonts w:cs="Arial"/>
          <w:szCs w:val="22"/>
        </w:rPr>
      </w:pPr>
    </w:p>
    <w:p w14:paraId="0A172DF2" w14:textId="77777777" w:rsidR="00F53AB1" w:rsidRPr="00A85FEA" w:rsidRDefault="00F53AB1" w:rsidP="00D87929">
      <w:pPr>
        <w:rPr>
          <w:rFonts w:cs="Arial"/>
          <w:szCs w:val="22"/>
        </w:rPr>
      </w:pPr>
      <w:r w:rsidRPr="00A85FEA">
        <w:rPr>
          <w:rFonts w:cs="Arial"/>
          <w:szCs w:val="22"/>
        </w:rPr>
        <w:t xml:space="preserve">7.5.3. No se reconocerán como activos intangibles </w:t>
      </w:r>
    </w:p>
    <w:p w14:paraId="364A539D" w14:textId="77777777" w:rsidR="00F53AB1" w:rsidRPr="00A85FEA" w:rsidRDefault="00F53AB1" w:rsidP="00D87929">
      <w:pPr>
        <w:rPr>
          <w:rFonts w:cs="Arial"/>
          <w:szCs w:val="22"/>
        </w:rPr>
      </w:pPr>
    </w:p>
    <w:p w14:paraId="5C767870" w14:textId="77777777" w:rsidR="00F53AB1" w:rsidRPr="00A85FEA" w:rsidRDefault="00F53AB1" w:rsidP="007B5BC0">
      <w:pPr>
        <w:jc w:val="both"/>
        <w:rPr>
          <w:rFonts w:cs="Arial"/>
          <w:szCs w:val="22"/>
        </w:rPr>
      </w:pPr>
      <w:r w:rsidRPr="00A85FEA">
        <w:rPr>
          <w:rFonts w:cs="Arial"/>
          <w:szCs w:val="22"/>
        </w:rPr>
        <w:t>Las marcas, las cabeceras de periódicos o revistas, los sellos o denominaciones editoriales, las listas de clientes ni otras partidas similares que se hayan generado internamente. Tampoco se reconocerán como activos intangibles los desembolsos por actividades de capacitación; la publicidad y actividades de promoción; los desembolsos por reubicación o reorganización de una parte o la totalidad de la entidad; los costos legales y administrativos generados en la creación de la entidad; los desembolsos necesarios para abrir una nueva instalación o actividad o, para comenzar una operación; ni los costos de lanzamiento de nuevos productos o procesos.</w:t>
      </w:r>
    </w:p>
    <w:p w14:paraId="47F748B0" w14:textId="77777777" w:rsidR="00F53AB1" w:rsidRPr="00A85FEA" w:rsidRDefault="00F53AB1" w:rsidP="00D87929">
      <w:pPr>
        <w:rPr>
          <w:rFonts w:cs="Arial"/>
          <w:szCs w:val="22"/>
        </w:rPr>
      </w:pPr>
    </w:p>
    <w:p w14:paraId="74AC6645" w14:textId="77777777" w:rsidR="00F53AB1" w:rsidRPr="00A85FEA" w:rsidRDefault="00F53AB1" w:rsidP="007B5BC0">
      <w:pPr>
        <w:jc w:val="both"/>
        <w:rPr>
          <w:rFonts w:cs="Arial"/>
          <w:szCs w:val="22"/>
        </w:rPr>
      </w:pPr>
      <w:r w:rsidRPr="00A85FEA">
        <w:rPr>
          <w:rFonts w:cs="Arial"/>
          <w:szCs w:val="22"/>
        </w:rPr>
        <w:t xml:space="preserve">Cuando un activo esté conformado por elementos tangibles e intangibles, la entidad determinará cuál de los dos elementos tiene un peso más significativo con respecto al valor total del activo, con el fin de tratarlo como propiedades, planta y equipo o como activo intangible, según corresponda. </w:t>
      </w:r>
    </w:p>
    <w:p w14:paraId="14DC5935" w14:textId="77777777" w:rsidR="00F53AB1" w:rsidRPr="00A85FEA" w:rsidRDefault="00F53AB1" w:rsidP="007B5BC0">
      <w:pPr>
        <w:jc w:val="both"/>
        <w:rPr>
          <w:rFonts w:cs="Arial"/>
          <w:szCs w:val="22"/>
        </w:rPr>
      </w:pPr>
    </w:p>
    <w:p w14:paraId="64570EB5" w14:textId="77777777" w:rsidR="00F53AB1" w:rsidRPr="00A85FEA" w:rsidRDefault="00F53AB1" w:rsidP="00D87929">
      <w:pPr>
        <w:rPr>
          <w:rFonts w:cs="Arial"/>
          <w:szCs w:val="22"/>
        </w:rPr>
      </w:pPr>
      <w:r w:rsidRPr="00A85FEA">
        <w:rPr>
          <w:rFonts w:cs="Arial"/>
          <w:szCs w:val="22"/>
        </w:rPr>
        <w:t xml:space="preserve">7.5.4. Adiciones y mejoras </w:t>
      </w:r>
    </w:p>
    <w:p w14:paraId="7ADC2864" w14:textId="77777777" w:rsidR="00F53AB1" w:rsidRPr="00A85FEA" w:rsidRDefault="00F53AB1" w:rsidP="00D87929">
      <w:pPr>
        <w:rPr>
          <w:rFonts w:cs="Arial"/>
          <w:szCs w:val="22"/>
        </w:rPr>
      </w:pPr>
    </w:p>
    <w:p w14:paraId="6B068115" w14:textId="77777777" w:rsidR="00F53AB1" w:rsidRPr="00A85FEA" w:rsidRDefault="00F53AB1" w:rsidP="007B5BC0">
      <w:pPr>
        <w:jc w:val="both"/>
        <w:rPr>
          <w:rFonts w:cs="Arial"/>
          <w:szCs w:val="22"/>
        </w:rPr>
      </w:pPr>
      <w:r w:rsidRPr="00A85FEA">
        <w:rPr>
          <w:rFonts w:cs="Arial"/>
          <w:szCs w:val="22"/>
        </w:rPr>
        <w:t>Las adiciones y mejoras efectuadas a un activo intangible se reconocerán como mayor valor de este y, en consecuencia, afectarán el cálculo futuro de la amortización. Las adiciones y mejoras son erogaciones en que incurre la entidad para aumentar la vida útil del activo, ampliar su capacidad productiva y eficiencia operativa, mejorar la calidad de los productos y servicios, o reducir significativamente los costos.</w:t>
      </w:r>
    </w:p>
    <w:p w14:paraId="7392ED19" w14:textId="77777777" w:rsidR="00F53AB1" w:rsidRPr="00A85FEA" w:rsidRDefault="00F53AB1" w:rsidP="007B5BC0">
      <w:pPr>
        <w:jc w:val="both"/>
        <w:rPr>
          <w:rFonts w:cs="Arial"/>
          <w:szCs w:val="22"/>
        </w:rPr>
      </w:pPr>
    </w:p>
    <w:p w14:paraId="669EDCA1" w14:textId="77777777" w:rsidR="00F53AB1" w:rsidRPr="00A85FEA" w:rsidRDefault="00F53AB1" w:rsidP="007B5BC0">
      <w:pPr>
        <w:jc w:val="both"/>
        <w:rPr>
          <w:rFonts w:cs="Arial"/>
          <w:i/>
          <w:szCs w:val="22"/>
        </w:rPr>
      </w:pPr>
      <w:r w:rsidRPr="00A85FEA">
        <w:rPr>
          <w:rFonts w:cs="Arial"/>
          <w:i/>
          <w:szCs w:val="22"/>
        </w:rPr>
        <w:t xml:space="preserve">La Corporación para el Desarrollo Sostenible del Norte y el Oriente Amazónico – CDA ha definido como política contable que reconocerá como activos intangibles que cumplan con el siguiente criterio materialidad: </w:t>
      </w:r>
      <w:r w:rsidRPr="00A85FEA">
        <w:rPr>
          <w:rFonts w:cs="Arial"/>
          <w:i/>
          <w:szCs w:val="22"/>
          <w:lang w:val="es-ES"/>
        </w:rPr>
        <w:t>Que su valor individual o en conjunto para bienes de las mismas características superen un salario mínimo mensual legal vigente (1 SMMLV).</w:t>
      </w:r>
    </w:p>
    <w:p w14:paraId="7782F2C3" w14:textId="77777777" w:rsidR="00F53AB1" w:rsidRPr="00A85FEA" w:rsidRDefault="00F53AB1" w:rsidP="007B5BC0">
      <w:pPr>
        <w:pStyle w:val="Ttulo1"/>
        <w:rPr>
          <w:rFonts w:ascii="Arial" w:hAnsi="Arial" w:cs="Arial"/>
          <w:color w:val="auto"/>
          <w:sz w:val="22"/>
          <w:szCs w:val="22"/>
        </w:rPr>
      </w:pPr>
      <w:bookmarkStart w:id="128" w:name="_Toc525721424"/>
      <w:r w:rsidRPr="00A85FEA">
        <w:rPr>
          <w:rFonts w:ascii="Arial" w:hAnsi="Arial" w:cs="Arial"/>
          <w:color w:val="auto"/>
          <w:sz w:val="22"/>
          <w:szCs w:val="22"/>
        </w:rPr>
        <w:t>7.6. Medición inicial</w:t>
      </w:r>
      <w:bookmarkEnd w:id="128"/>
    </w:p>
    <w:p w14:paraId="75A820B7" w14:textId="77777777" w:rsidR="00F53AB1" w:rsidRPr="00A85FEA" w:rsidRDefault="00F53AB1" w:rsidP="00D87929">
      <w:pPr>
        <w:rPr>
          <w:rFonts w:cs="Arial"/>
          <w:szCs w:val="22"/>
        </w:rPr>
      </w:pPr>
    </w:p>
    <w:p w14:paraId="4DFC12AD" w14:textId="77777777" w:rsidR="00F53AB1" w:rsidRPr="00A85FEA" w:rsidRDefault="00F53AB1" w:rsidP="00D87929">
      <w:pPr>
        <w:rPr>
          <w:rFonts w:cs="Arial"/>
          <w:szCs w:val="22"/>
        </w:rPr>
      </w:pPr>
      <w:r w:rsidRPr="00A85FEA">
        <w:rPr>
          <w:rFonts w:cs="Arial"/>
          <w:szCs w:val="22"/>
        </w:rPr>
        <w:t xml:space="preserve">Los activos intangibles se medirán al costo, el cual dependerá de la forma en que se obtenga el intangible. </w:t>
      </w:r>
    </w:p>
    <w:p w14:paraId="5A655CF9" w14:textId="77777777" w:rsidR="00F53AB1" w:rsidRPr="00A85FEA" w:rsidRDefault="00F53AB1" w:rsidP="00D87929">
      <w:pPr>
        <w:rPr>
          <w:rFonts w:cs="Arial"/>
          <w:szCs w:val="22"/>
        </w:rPr>
      </w:pPr>
    </w:p>
    <w:p w14:paraId="7DACAC65" w14:textId="77777777" w:rsidR="00F53AB1" w:rsidRPr="00A85FEA" w:rsidRDefault="00F53AB1" w:rsidP="00D87929">
      <w:pPr>
        <w:rPr>
          <w:rFonts w:cs="Arial"/>
          <w:szCs w:val="22"/>
        </w:rPr>
      </w:pPr>
      <w:r w:rsidRPr="00A85FEA">
        <w:rPr>
          <w:rFonts w:cs="Arial"/>
          <w:szCs w:val="22"/>
        </w:rPr>
        <w:t xml:space="preserve">7.6.1. Activos intangibles adquiridos </w:t>
      </w:r>
    </w:p>
    <w:p w14:paraId="645EAD21" w14:textId="77777777" w:rsidR="00F53AB1" w:rsidRPr="00A85FEA" w:rsidRDefault="00F53AB1" w:rsidP="00D87929">
      <w:pPr>
        <w:rPr>
          <w:rFonts w:cs="Arial"/>
          <w:szCs w:val="22"/>
        </w:rPr>
      </w:pPr>
    </w:p>
    <w:p w14:paraId="1F24B05E" w14:textId="77777777" w:rsidR="00F53AB1" w:rsidRPr="00A85FEA" w:rsidRDefault="00F53AB1" w:rsidP="00D87929">
      <w:pPr>
        <w:rPr>
          <w:rFonts w:cs="Arial"/>
          <w:szCs w:val="22"/>
        </w:rPr>
      </w:pPr>
      <w:r w:rsidRPr="00A85FEA">
        <w:rPr>
          <w:rFonts w:cs="Arial"/>
          <w:szCs w:val="22"/>
        </w:rPr>
        <w:t>7.6.1.1. Adquiridos en una transacción de compra</w:t>
      </w:r>
    </w:p>
    <w:p w14:paraId="5D8ED6C5" w14:textId="77777777" w:rsidR="00F53AB1" w:rsidRPr="00A85FEA" w:rsidRDefault="00F53AB1" w:rsidP="00D87929">
      <w:pPr>
        <w:rPr>
          <w:rFonts w:cs="Arial"/>
          <w:szCs w:val="22"/>
        </w:rPr>
      </w:pPr>
    </w:p>
    <w:p w14:paraId="4BD22E7D" w14:textId="77777777" w:rsidR="00F53AB1" w:rsidRPr="00A85FEA" w:rsidRDefault="00F53AB1" w:rsidP="007B5BC0">
      <w:pPr>
        <w:jc w:val="both"/>
        <w:rPr>
          <w:rFonts w:cs="Arial"/>
          <w:szCs w:val="22"/>
        </w:rPr>
      </w:pPr>
      <w:r w:rsidRPr="00A85FEA">
        <w:rPr>
          <w:rFonts w:cs="Arial"/>
          <w:szCs w:val="22"/>
        </w:rPr>
        <w:t xml:space="preserve">El costo de un activo intangible que se adquiere en forma separada estará conformado por el precio de adquisición, los aranceles de importación e impuestos no recuperables que recaigan sobre la adquisición y cualquier costo directamente atribuible a la preparación del activo para su uso previsto. Cualquier descuento o rebaja del precio se reconocerá como un menor valor del activo intangible y afectará la base de amortización. </w:t>
      </w:r>
    </w:p>
    <w:p w14:paraId="594E52F7" w14:textId="77777777" w:rsidR="00F53AB1" w:rsidRPr="00A85FEA" w:rsidRDefault="00F53AB1" w:rsidP="007B5BC0">
      <w:pPr>
        <w:jc w:val="both"/>
        <w:rPr>
          <w:rFonts w:cs="Arial"/>
          <w:szCs w:val="22"/>
        </w:rPr>
      </w:pPr>
    </w:p>
    <w:p w14:paraId="2CD1BA9A" w14:textId="77777777" w:rsidR="00F53AB1" w:rsidRPr="00A85FEA" w:rsidRDefault="00F53AB1" w:rsidP="007B5BC0">
      <w:pPr>
        <w:jc w:val="both"/>
        <w:rPr>
          <w:rFonts w:cs="Arial"/>
          <w:szCs w:val="22"/>
        </w:rPr>
      </w:pPr>
      <w:r w:rsidRPr="00A85FEA">
        <w:rPr>
          <w:rFonts w:cs="Arial"/>
          <w:szCs w:val="22"/>
        </w:rPr>
        <w:t xml:space="preserve">Los costos de financiación asociados con la adquisición de un activo intangible que, de acuerdo con lo estipulado en la Norma de costos de financiación, cumpla con los requisitos establecidos para calificarse como activo apto se capitalizarán atendiendo lo establecido en la citada Norma. </w:t>
      </w:r>
    </w:p>
    <w:p w14:paraId="04F07CDE" w14:textId="77777777" w:rsidR="00F53AB1" w:rsidRPr="00A85FEA" w:rsidRDefault="00F53AB1" w:rsidP="00D87929">
      <w:pPr>
        <w:rPr>
          <w:rFonts w:cs="Arial"/>
          <w:szCs w:val="22"/>
        </w:rPr>
      </w:pPr>
    </w:p>
    <w:p w14:paraId="18F2F8BD" w14:textId="77777777" w:rsidR="00F53AB1" w:rsidRPr="00A85FEA" w:rsidRDefault="00F53AB1" w:rsidP="00D87929">
      <w:pPr>
        <w:rPr>
          <w:rFonts w:cs="Arial"/>
          <w:szCs w:val="22"/>
        </w:rPr>
      </w:pPr>
    </w:p>
    <w:p w14:paraId="3C3D24F4" w14:textId="77777777" w:rsidR="00F53AB1" w:rsidRPr="00A85FEA" w:rsidRDefault="00F53AB1" w:rsidP="00D87929">
      <w:pPr>
        <w:rPr>
          <w:rFonts w:cs="Arial"/>
          <w:szCs w:val="22"/>
        </w:rPr>
      </w:pPr>
      <w:r w:rsidRPr="00A85FEA">
        <w:rPr>
          <w:rFonts w:cs="Arial"/>
          <w:szCs w:val="22"/>
        </w:rPr>
        <w:t>7.6.1.2. Adquiridos en contratos de concesión</w:t>
      </w:r>
    </w:p>
    <w:p w14:paraId="10BF8A9F" w14:textId="77777777" w:rsidR="00F53AB1" w:rsidRPr="00A85FEA" w:rsidRDefault="00F53AB1" w:rsidP="00D87929">
      <w:pPr>
        <w:rPr>
          <w:rFonts w:cs="Arial"/>
          <w:szCs w:val="22"/>
        </w:rPr>
      </w:pPr>
    </w:p>
    <w:p w14:paraId="1F35B168" w14:textId="77777777" w:rsidR="00F53AB1" w:rsidRPr="00A85FEA" w:rsidRDefault="00F53AB1" w:rsidP="007B5BC0">
      <w:pPr>
        <w:jc w:val="both"/>
        <w:rPr>
          <w:rFonts w:cs="Arial"/>
          <w:szCs w:val="22"/>
        </w:rPr>
      </w:pPr>
      <w:r w:rsidRPr="00A85FEA">
        <w:rPr>
          <w:rFonts w:cs="Arial"/>
          <w:szCs w:val="22"/>
        </w:rPr>
        <w:t xml:space="preserve">Los activos intangibles adquiridos o desarrollados en virtud de la ejecución de contratos de concesión se medirán, de acuerdo con lo establecido en la Norma de acuerdos de concesión desde la perspectiva de la entidad concedente. </w:t>
      </w:r>
    </w:p>
    <w:p w14:paraId="69E3ACBC" w14:textId="77777777" w:rsidR="00F53AB1" w:rsidRPr="00A85FEA" w:rsidRDefault="00F53AB1" w:rsidP="007B5BC0">
      <w:pPr>
        <w:jc w:val="both"/>
        <w:rPr>
          <w:rFonts w:cs="Arial"/>
          <w:szCs w:val="22"/>
        </w:rPr>
      </w:pPr>
    </w:p>
    <w:p w14:paraId="5E668CD9" w14:textId="77777777" w:rsidR="00F53AB1" w:rsidRPr="00A85FEA" w:rsidRDefault="00F53AB1" w:rsidP="00D87929">
      <w:pPr>
        <w:rPr>
          <w:rFonts w:cs="Arial"/>
          <w:szCs w:val="22"/>
        </w:rPr>
      </w:pPr>
      <w:r w:rsidRPr="00A85FEA">
        <w:rPr>
          <w:rFonts w:cs="Arial"/>
          <w:szCs w:val="22"/>
        </w:rPr>
        <w:t xml:space="preserve">7.6.1.3. Adquiridos en transacción sin contraprestación </w:t>
      </w:r>
    </w:p>
    <w:p w14:paraId="1F3657E5" w14:textId="77777777" w:rsidR="00F53AB1" w:rsidRPr="00A85FEA" w:rsidRDefault="00F53AB1" w:rsidP="00D87929">
      <w:pPr>
        <w:rPr>
          <w:rFonts w:cs="Arial"/>
          <w:szCs w:val="22"/>
        </w:rPr>
      </w:pPr>
    </w:p>
    <w:p w14:paraId="02D6B7B9" w14:textId="77777777" w:rsidR="00F53AB1" w:rsidRPr="00A85FEA" w:rsidRDefault="00F53AB1" w:rsidP="007B5BC0">
      <w:pPr>
        <w:jc w:val="both"/>
        <w:rPr>
          <w:rFonts w:cs="Arial"/>
          <w:szCs w:val="22"/>
        </w:rPr>
      </w:pPr>
      <w:r w:rsidRPr="00A85FEA">
        <w:rPr>
          <w:rFonts w:cs="Arial"/>
          <w:szCs w:val="22"/>
        </w:rPr>
        <w:t xml:space="preserve">Cuando se adquiera un activo intangible en una transacción sin contraprestación, la entidad medirá el activo adquirido de acuerdo con la Norma de ingresos de transacciones sin contraprestación. En todo caso, al valor determinado, se le adicionará cualquier desembolso que sea directamente atribuible a la preparación del activo para el uso previsto. </w:t>
      </w:r>
    </w:p>
    <w:p w14:paraId="0252EB49" w14:textId="77777777" w:rsidR="00F53AB1" w:rsidRPr="00A85FEA" w:rsidRDefault="00F53AB1" w:rsidP="00D87929">
      <w:pPr>
        <w:rPr>
          <w:rFonts w:cs="Arial"/>
          <w:szCs w:val="22"/>
        </w:rPr>
      </w:pPr>
    </w:p>
    <w:p w14:paraId="4218F00A" w14:textId="77777777" w:rsidR="00F53AB1" w:rsidRPr="00A85FEA" w:rsidRDefault="00F53AB1" w:rsidP="00D87929">
      <w:pPr>
        <w:rPr>
          <w:rFonts w:cs="Arial"/>
          <w:szCs w:val="22"/>
        </w:rPr>
      </w:pPr>
      <w:r w:rsidRPr="00A85FEA">
        <w:rPr>
          <w:rFonts w:cs="Arial"/>
          <w:szCs w:val="22"/>
        </w:rPr>
        <w:t xml:space="preserve">7.6.1.4. Adquiridos permuta </w:t>
      </w:r>
    </w:p>
    <w:p w14:paraId="51BD9A07" w14:textId="77777777" w:rsidR="00F53AB1" w:rsidRPr="00A85FEA" w:rsidRDefault="00F53AB1" w:rsidP="00D87929">
      <w:pPr>
        <w:rPr>
          <w:rFonts w:cs="Arial"/>
          <w:szCs w:val="22"/>
        </w:rPr>
      </w:pPr>
    </w:p>
    <w:p w14:paraId="71CACE0A" w14:textId="77777777" w:rsidR="00F53AB1" w:rsidRPr="00A85FEA" w:rsidRDefault="00F53AB1" w:rsidP="007B5BC0">
      <w:pPr>
        <w:jc w:val="both"/>
        <w:rPr>
          <w:rFonts w:cs="Arial"/>
          <w:szCs w:val="22"/>
        </w:rPr>
      </w:pPr>
      <w:r w:rsidRPr="00A85FEA">
        <w:rPr>
          <w:rFonts w:cs="Arial"/>
          <w:szCs w:val="22"/>
        </w:rPr>
        <w:t xml:space="preserve">Los activos intangibles adquiridos mediante permuta se medirán por su valor de mercado; a falta de este, por el valor de mercado de los activos entregados y en ausencia de ambos, por el valor en libros de los activos entregados. En todo caso, al valor determinado, se le adicionará cualquier desembolso que sea directamente atribuible a la preparación del activo para el uso previsto. </w:t>
      </w:r>
    </w:p>
    <w:p w14:paraId="0C4F4B20" w14:textId="77777777" w:rsidR="00F53AB1" w:rsidRPr="00A85FEA" w:rsidRDefault="00F53AB1" w:rsidP="00D87929">
      <w:pPr>
        <w:rPr>
          <w:rFonts w:cs="Arial"/>
          <w:szCs w:val="22"/>
        </w:rPr>
      </w:pPr>
    </w:p>
    <w:p w14:paraId="5901B6E8" w14:textId="77777777" w:rsidR="00F53AB1" w:rsidRPr="00A85FEA" w:rsidRDefault="00F53AB1" w:rsidP="00D87929">
      <w:pPr>
        <w:rPr>
          <w:rFonts w:cs="Arial"/>
          <w:szCs w:val="22"/>
        </w:rPr>
      </w:pPr>
      <w:r w:rsidRPr="00A85FEA">
        <w:rPr>
          <w:rFonts w:cs="Arial"/>
          <w:szCs w:val="22"/>
        </w:rPr>
        <w:t>7.6.1.5. Adquiridos en arrendamiento financiero</w:t>
      </w:r>
    </w:p>
    <w:p w14:paraId="31D2C989" w14:textId="77777777" w:rsidR="00F53AB1" w:rsidRPr="00A85FEA" w:rsidRDefault="00F53AB1" w:rsidP="00D87929">
      <w:pPr>
        <w:rPr>
          <w:rFonts w:cs="Arial"/>
          <w:szCs w:val="22"/>
        </w:rPr>
      </w:pPr>
    </w:p>
    <w:p w14:paraId="7E8A4BC8" w14:textId="77777777" w:rsidR="00F53AB1" w:rsidRPr="00A85FEA" w:rsidRDefault="00F53AB1" w:rsidP="007B5BC0">
      <w:pPr>
        <w:jc w:val="both"/>
        <w:rPr>
          <w:rFonts w:cs="Arial"/>
          <w:szCs w:val="22"/>
        </w:rPr>
      </w:pPr>
      <w:r w:rsidRPr="00A85FEA">
        <w:rPr>
          <w:rFonts w:cs="Arial"/>
          <w:szCs w:val="22"/>
        </w:rPr>
        <w:t>Cuando la adquisición de un intangible se lleve a cabo a través de una operación de arrendamiento financiero, el arrendatario medirá el activo de acuerdo con lo establecido en la Norma de arrendamientos.</w:t>
      </w:r>
    </w:p>
    <w:p w14:paraId="1A8A2EA5" w14:textId="77777777" w:rsidR="00F53AB1" w:rsidRPr="00A85FEA" w:rsidRDefault="00F53AB1" w:rsidP="007B5BC0">
      <w:pPr>
        <w:jc w:val="both"/>
        <w:rPr>
          <w:rFonts w:cs="Arial"/>
          <w:szCs w:val="22"/>
        </w:rPr>
      </w:pPr>
    </w:p>
    <w:p w14:paraId="422C3480" w14:textId="77777777" w:rsidR="00F53AB1" w:rsidRPr="00A85FEA" w:rsidRDefault="00F53AB1" w:rsidP="00D87929">
      <w:pPr>
        <w:rPr>
          <w:rFonts w:cs="Arial"/>
          <w:szCs w:val="22"/>
        </w:rPr>
      </w:pPr>
      <w:r w:rsidRPr="00A85FEA">
        <w:rPr>
          <w:rFonts w:cs="Arial"/>
          <w:szCs w:val="22"/>
        </w:rPr>
        <w:t xml:space="preserve">7.6.2. Activos intangibles generados internamente </w:t>
      </w:r>
    </w:p>
    <w:p w14:paraId="34E6F40F" w14:textId="77777777" w:rsidR="00F53AB1" w:rsidRPr="00A85FEA" w:rsidRDefault="00F53AB1" w:rsidP="00D87929">
      <w:pPr>
        <w:rPr>
          <w:rFonts w:cs="Arial"/>
          <w:szCs w:val="22"/>
        </w:rPr>
      </w:pPr>
    </w:p>
    <w:p w14:paraId="1B2DA9F6" w14:textId="77777777" w:rsidR="00F53AB1" w:rsidRPr="00A85FEA" w:rsidRDefault="00F53AB1" w:rsidP="007B5BC0">
      <w:pPr>
        <w:jc w:val="both"/>
        <w:rPr>
          <w:rFonts w:cs="Arial"/>
          <w:szCs w:val="22"/>
        </w:rPr>
      </w:pPr>
      <w:r w:rsidRPr="00A85FEA">
        <w:rPr>
          <w:rFonts w:cs="Arial"/>
          <w:szCs w:val="22"/>
        </w:rPr>
        <w:t xml:space="preserve">Los desembolsos que se realicen en la fase de investigación se separarán de aquellos que se realicen en la fase de desarrollo. Los primeros se reconocerán como gastos en el resultado del periodo en el momento en que se produzcan y los segundos formarán parte de los componentes del costo de los activos intangibles desarrollados internamente siempre y cuando cumplan con los criterios de reconocimiento para la fase de desarrollo. Si no es posible separar los desembolsos en las fases de investigación y desarrollo, estos se tratarán como si se hubieran realizado en la fase de investigación. </w:t>
      </w:r>
    </w:p>
    <w:p w14:paraId="41DDF2EC" w14:textId="77777777" w:rsidR="00F53AB1" w:rsidRPr="00A85FEA" w:rsidRDefault="00F53AB1" w:rsidP="007B5BC0">
      <w:pPr>
        <w:jc w:val="both"/>
        <w:rPr>
          <w:rFonts w:cs="Arial"/>
          <w:szCs w:val="22"/>
        </w:rPr>
      </w:pPr>
    </w:p>
    <w:p w14:paraId="7ABD162E" w14:textId="77777777" w:rsidR="00F53AB1" w:rsidRPr="00A85FEA" w:rsidRDefault="00F53AB1" w:rsidP="007B5BC0">
      <w:pPr>
        <w:jc w:val="both"/>
        <w:rPr>
          <w:rFonts w:cs="Arial"/>
          <w:szCs w:val="22"/>
        </w:rPr>
      </w:pPr>
      <w:r w:rsidRPr="00A85FEA">
        <w:rPr>
          <w:rFonts w:cs="Arial"/>
          <w:szCs w:val="22"/>
        </w:rPr>
        <w:t xml:space="preserve">El costo de un activo intangible que surja en la fase de desarrollo estará conformado por todos los desembolsos realizados que sean directamente atribuibles y necesarios en la creación, producción y preparación del activo para que pueda operar de la forma prevista por la administración de la entidad. Estos desembolsos comprenderán, entre otros los siguientes: </w:t>
      </w:r>
    </w:p>
    <w:p w14:paraId="4308E9BB" w14:textId="77777777" w:rsidR="00F53AB1" w:rsidRPr="00A85FEA" w:rsidRDefault="00F53AB1" w:rsidP="00D87929">
      <w:pPr>
        <w:rPr>
          <w:rFonts w:cs="Arial"/>
          <w:szCs w:val="22"/>
        </w:rPr>
      </w:pPr>
    </w:p>
    <w:p w14:paraId="47FB9110" w14:textId="77777777" w:rsidR="00F53AB1" w:rsidRPr="00A85FEA" w:rsidRDefault="0033105F" w:rsidP="00635268">
      <w:pPr>
        <w:jc w:val="both"/>
        <w:rPr>
          <w:rFonts w:cs="Arial"/>
          <w:szCs w:val="22"/>
        </w:rPr>
      </w:pPr>
      <w:r w:rsidRPr="00A85FEA">
        <w:rPr>
          <w:rFonts w:cs="Arial"/>
          <w:szCs w:val="22"/>
        </w:rPr>
        <w:t>C</w:t>
      </w:r>
      <w:r w:rsidR="00F53AB1" w:rsidRPr="00A85FEA">
        <w:rPr>
          <w:rFonts w:cs="Arial"/>
          <w:szCs w:val="22"/>
        </w:rPr>
        <w:t xml:space="preserve">ostos de materiales y servicios utilizados o consumidos en la generación del activo intangible, los costos de beneficios a los empleados relacionados con la generación del activo intangible, honorarios para registrar los derechos legales, y amortización de patentes y licencias que se utilizan para generar activos intangibles. </w:t>
      </w:r>
    </w:p>
    <w:p w14:paraId="18F8DC65" w14:textId="77777777" w:rsidR="00F53AB1" w:rsidRPr="00A85FEA" w:rsidRDefault="00F53AB1" w:rsidP="00635268">
      <w:pPr>
        <w:jc w:val="both"/>
        <w:rPr>
          <w:rFonts w:cs="Arial"/>
          <w:szCs w:val="22"/>
        </w:rPr>
      </w:pPr>
    </w:p>
    <w:p w14:paraId="1E2BD068" w14:textId="77777777" w:rsidR="00F53AB1" w:rsidRPr="00A85FEA" w:rsidRDefault="00F53AB1" w:rsidP="00635268">
      <w:pPr>
        <w:jc w:val="both"/>
        <w:rPr>
          <w:rFonts w:cs="Arial"/>
          <w:szCs w:val="22"/>
        </w:rPr>
      </w:pPr>
      <w:r w:rsidRPr="00A85FEA">
        <w:rPr>
          <w:rFonts w:cs="Arial"/>
          <w:szCs w:val="22"/>
        </w:rPr>
        <w:t xml:space="preserve">7.6.2. No formarán parte del costo de los activos intangibles generados internamente </w:t>
      </w:r>
    </w:p>
    <w:p w14:paraId="11E6E4B9" w14:textId="77777777" w:rsidR="00F53AB1" w:rsidRPr="00A85FEA" w:rsidRDefault="00F53AB1" w:rsidP="00635268">
      <w:pPr>
        <w:jc w:val="both"/>
        <w:rPr>
          <w:rFonts w:cs="Arial"/>
          <w:szCs w:val="22"/>
        </w:rPr>
      </w:pPr>
    </w:p>
    <w:p w14:paraId="61E156DC" w14:textId="77777777" w:rsidR="00F53AB1" w:rsidRPr="00A85FEA" w:rsidRDefault="00F53AB1" w:rsidP="00635268">
      <w:pPr>
        <w:jc w:val="both"/>
        <w:rPr>
          <w:rFonts w:cs="Arial"/>
          <w:szCs w:val="22"/>
        </w:rPr>
      </w:pPr>
      <w:r w:rsidRPr="00A85FEA">
        <w:rPr>
          <w:rFonts w:cs="Arial"/>
          <w:szCs w:val="22"/>
        </w:rPr>
        <w:t>Los gastos administrativos de venta u otros gastos indirectos de carácter general no atribuibles a la preparación del activo para su uso; las cantidades que excedan los rangos normales de consumo de materiales, mano de obra u otros factores empleados; las pérdidas operativas; ni los desembolsos para formación del personal que trabaje con el activo. Los desembolsos sobre un activo intangible reconocidos inicialmente como gastos en el resultado no se reconocerán posteriormente como parte del costo de un activo intangible.</w:t>
      </w:r>
    </w:p>
    <w:p w14:paraId="1CCE24F8" w14:textId="77777777" w:rsidR="00F53AB1" w:rsidRPr="00A85FEA" w:rsidRDefault="00F53AB1" w:rsidP="00635268">
      <w:pPr>
        <w:jc w:val="both"/>
        <w:rPr>
          <w:rFonts w:cs="Arial"/>
          <w:szCs w:val="22"/>
        </w:rPr>
      </w:pPr>
    </w:p>
    <w:p w14:paraId="2B6CF8EA" w14:textId="77777777" w:rsidR="00F53AB1" w:rsidRPr="00A85FEA" w:rsidRDefault="00F53AB1" w:rsidP="00635268">
      <w:pPr>
        <w:jc w:val="both"/>
        <w:rPr>
          <w:rFonts w:cs="Arial"/>
          <w:szCs w:val="22"/>
        </w:rPr>
      </w:pPr>
      <w:r w:rsidRPr="00A85FEA">
        <w:rPr>
          <w:rFonts w:cs="Arial"/>
          <w:szCs w:val="22"/>
        </w:rPr>
        <w:t>Los desembolsos posteriores relacionados con un proyecto de investigación y desarrollo adquirido seguirán los criterios de reconocimiento establecidos anteriormente.</w:t>
      </w:r>
    </w:p>
    <w:p w14:paraId="0E95F30A" w14:textId="77777777" w:rsidR="00F53AB1" w:rsidRPr="00A85FEA" w:rsidRDefault="00F53AB1" w:rsidP="00D87929">
      <w:pPr>
        <w:rPr>
          <w:rFonts w:cs="Arial"/>
          <w:szCs w:val="22"/>
        </w:rPr>
      </w:pPr>
    </w:p>
    <w:p w14:paraId="29998BCB" w14:textId="77777777" w:rsidR="00F53AB1" w:rsidRPr="00A85FEA" w:rsidRDefault="00F53AB1" w:rsidP="007D5D9B">
      <w:pPr>
        <w:pStyle w:val="Ttulo1"/>
        <w:rPr>
          <w:rFonts w:ascii="Arial" w:hAnsi="Arial" w:cs="Arial"/>
          <w:color w:val="auto"/>
          <w:sz w:val="22"/>
          <w:szCs w:val="22"/>
        </w:rPr>
      </w:pPr>
      <w:bookmarkStart w:id="129" w:name="_Toc525721425"/>
      <w:r w:rsidRPr="00A85FEA">
        <w:rPr>
          <w:rFonts w:ascii="Arial" w:hAnsi="Arial" w:cs="Arial"/>
          <w:color w:val="auto"/>
          <w:sz w:val="22"/>
          <w:szCs w:val="22"/>
        </w:rPr>
        <w:t>7.7. Medición posterior</w:t>
      </w:r>
      <w:bookmarkEnd w:id="129"/>
      <w:r w:rsidRPr="00A85FEA">
        <w:rPr>
          <w:rFonts w:ascii="Arial" w:hAnsi="Arial" w:cs="Arial"/>
          <w:color w:val="auto"/>
          <w:sz w:val="22"/>
          <w:szCs w:val="22"/>
        </w:rPr>
        <w:t xml:space="preserve"> </w:t>
      </w:r>
    </w:p>
    <w:p w14:paraId="0294B754" w14:textId="77777777" w:rsidR="00F53AB1" w:rsidRPr="00A85FEA" w:rsidRDefault="00F53AB1" w:rsidP="00D87929">
      <w:pPr>
        <w:rPr>
          <w:rFonts w:cs="Arial"/>
          <w:szCs w:val="22"/>
        </w:rPr>
      </w:pPr>
    </w:p>
    <w:p w14:paraId="1E49B70F" w14:textId="77777777" w:rsidR="00F53AB1" w:rsidRPr="00A85FEA" w:rsidRDefault="00F53AB1" w:rsidP="007D5D9B">
      <w:pPr>
        <w:jc w:val="both"/>
        <w:rPr>
          <w:rFonts w:cs="Arial"/>
          <w:szCs w:val="22"/>
        </w:rPr>
      </w:pPr>
      <w:r w:rsidRPr="00A85FEA">
        <w:rPr>
          <w:rFonts w:cs="Arial"/>
          <w:szCs w:val="22"/>
        </w:rPr>
        <w:t xml:space="preserve">Con posterioridad al reconocimiento, los activos intangibles se medirán por su costo menos la amortización acumulada menos el deterioro acumulado. </w:t>
      </w:r>
    </w:p>
    <w:p w14:paraId="0D006E01" w14:textId="77777777" w:rsidR="00F53AB1" w:rsidRPr="00A85FEA" w:rsidRDefault="00F53AB1" w:rsidP="007D5D9B">
      <w:pPr>
        <w:jc w:val="both"/>
        <w:rPr>
          <w:rFonts w:cs="Arial"/>
          <w:szCs w:val="22"/>
        </w:rPr>
      </w:pPr>
    </w:p>
    <w:p w14:paraId="6488E5A4" w14:textId="77777777" w:rsidR="00F53AB1" w:rsidRPr="00A85FEA" w:rsidRDefault="00F53AB1" w:rsidP="00D87929">
      <w:pPr>
        <w:rPr>
          <w:rFonts w:cs="Arial"/>
          <w:szCs w:val="22"/>
        </w:rPr>
      </w:pPr>
      <w:r w:rsidRPr="00A85FEA">
        <w:rPr>
          <w:rFonts w:cs="Arial"/>
          <w:szCs w:val="22"/>
        </w:rPr>
        <w:t xml:space="preserve">7.7.1. Amortización </w:t>
      </w:r>
    </w:p>
    <w:p w14:paraId="72DEB724" w14:textId="77777777" w:rsidR="00F53AB1" w:rsidRPr="00A85FEA" w:rsidRDefault="00F53AB1" w:rsidP="00D87929">
      <w:pPr>
        <w:rPr>
          <w:rFonts w:cs="Arial"/>
          <w:szCs w:val="22"/>
        </w:rPr>
      </w:pPr>
    </w:p>
    <w:p w14:paraId="6524D5DD" w14:textId="77777777" w:rsidR="00F53AB1" w:rsidRPr="00A85FEA" w:rsidRDefault="00F53AB1" w:rsidP="007D5D9B">
      <w:pPr>
        <w:jc w:val="both"/>
        <w:rPr>
          <w:rFonts w:cs="Arial"/>
          <w:szCs w:val="22"/>
        </w:rPr>
      </w:pPr>
      <w:r w:rsidRPr="00A85FEA">
        <w:rPr>
          <w:rFonts w:cs="Arial"/>
          <w:szCs w:val="22"/>
        </w:rPr>
        <w:t xml:space="preserve">La amortización es la distribución sistemática del valor amortizable de un activo intangible durante su vida útil. Por su parte, el valor amortizable de un activo intangible es el costo del activo menos su valor residual. </w:t>
      </w:r>
    </w:p>
    <w:p w14:paraId="512D6DCE" w14:textId="77777777" w:rsidR="00F53AB1" w:rsidRPr="00A85FEA" w:rsidRDefault="00F53AB1" w:rsidP="007D5D9B">
      <w:pPr>
        <w:jc w:val="both"/>
        <w:rPr>
          <w:rFonts w:cs="Arial"/>
          <w:szCs w:val="22"/>
        </w:rPr>
      </w:pPr>
    </w:p>
    <w:p w14:paraId="56DA4E9A" w14:textId="77777777" w:rsidR="00F53AB1" w:rsidRPr="00A85FEA" w:rsidRDefault="00F53AB1" w:rsidP="007D5D9B">
      <w:pPr>
        <w:jc w:val="both"/>
        <w:rPr>
          <w:rFonts w:cs="Arial"/>
          <w:szCs w:val="22"/>
        </w:rPr>
      </w:pPr>
      <w:r w:rsidRPr="00A85FEA">
        <w:rPr>
          <w:rFonts w:cs="Arial"/>
          <w:szCs w:val="22"/>
        </w:rPr>
        <w:t xml:space="preserve">La amortización iniciará cuando el activo esté disponible para su utilización, es decir, cuando se encuentre en la ubicación y condiciones necesarias para que pueda operar de la forma prevista por la administración de la entidad. El cargo por amortización de un periodo se reconocerá como gasto en el resultado de este, salvo que deba incluirse en el valor en libros de otros activos. </w:t>
      </w:r>
    </w:p>
    <w:p w14:paraId="100650D3" w14:textId="77777777" w:rsidR="00F53AB1" w:rsidRPr="00A85FEA" w:rsidRDefault="00F53AB1" w:rsidP="007D5D9B">
      <w:pPr>
        <w:jc w:val="both"/>
        <w:rPr>
          <w:rFonts w:cs="Arial"/>
          <w:szCs w:val="22"/>
        </w:rPr>
      </w:pPr>
    </w:p>
    <w:p w14:paraId="5D577130" w14:textId="77777777" w:rsidR="00F53AB1" w:rsidRPr="00A85FEA" w:rsidRDefault="00F53AB1" w:rsidP="007D5D9B">
      <w:pPr>
        <w:jc w:val="both"/>
        <w:rPr>
          <w:rFonts w:cs="Arial"/>
          <w:szCs w:val="22"/>
        </w:rPr>
      </w:pPr>
      <w:r w:rsidRPr="00A85FEA">
        <w:rPr>
          <w:rFonts w:cs="Arial"/>
          <w:szCs w:val="22"/>
        </w:rPr>
        <w:t>La amortización acumulada de un activo intangible estará en función del valor residual, la vida útil y el método de amortización.</w:t>
      </w:r>
    </w:p>
    <w:p w14:paraId="7E9E23AA" w14:textId="77777777" w:rsidR="00F53AB1" w:rsidRPr="00A85FEA" w:rsidRDefault="00F53AB1" w:rsidP="00D87929">
      <w:pPr>
        <w:rPr>
          <w:rFonts w:cs="Arial"/>
          <w:szCs w:val="22"/>
        </w:rPr>
      </w:pPr>
    </w:p>
    <w:p w14:paraId="13CB19CF" w14:textId="77777777" w:rsidR="00F53AB1" w:rsidRPr="00A85FEA" w:rsidRDefault="00F53AB1" w:rsidP="00D87929">
      <w:pPr>
        <w:rPr>
          <w:rFonts w:cs="Arial"/>
          <w:szCs w:val="22"/>
        </w:rPr>
      </w:pPr>
    </w:p>
    <w:p w14:paraId="71A9E726" w14:textId="77777777" w:rsidR="00F53AB1" w:rsidRPr="00A85FEA" w:rsidRDefault="00F53AB1" w:rsidP="00D87929">
      <w:pPr>
        <w:rPr>
          <w:rFonts w:cs="Arial"/>
          <w:szCs w:val="22"/>
        </w:rPr>
      </w:pPr>
      <w:r w:rsidRPr="00A85FEA">
        <w:rPr>
          <w:rFonts w:cs="Arial"/>
          <w:szCs w:val="22"/>
        </w:rPr>
        <w:t xml:space="preserve">7.7.2. Vida útil </w:t>
      </w:r>
    </w:p>
    <w:p w14:paraId="1E158B8D" w14:textId="77777777" w:rsidR="00F53AB1" w:rsidRPr="00A85FEA" w:rsidRDefault="00F53AB1" w:rsidP="00D87929">
      <w:pPr>
        <w:rPr>
          <w:rFonts w:cs="Arial"/>
          <w:szCs w:val="22"/>
        </w:rPr>
      </w:pPr>
    </w:p>
    <w:p w14:paraId="3B9765AF" w14:textId="77777777" w:rsidR="00F53AB1" w:rsidRPr="00A85FEA" w:rsidRDefault="00F53AB1" w:rsidP="007D5D9B">
      <w:pPr>
        <w:jc w:val="both"/>
        <w:rPr>
          <w:rFonts w:cs="Arial"/>
          <w:szCs w:val="22"/>
        </w:rPr>
      </w:pPr>
      <w:r w:rsidRPr="00A85FEA">
        <w:rPr>
          <w:rFonts w:cs="Arial"/>
          <w:szCs w:val="22"/>
        </w:rPr>
        <w:t xml:space="preserve">La vida útil de un activo intangible dependerá del periodo durante el cual la entidad espere recibir los beneficios económicos o el potencial de servicio asociados al activo. Esta se determinará en función del tiempo durante el cual la entidad espere utilizar el activo o del número de unidades de producción o similares que obtendría de él. Si no es posible hacer una estimación fiable de la vida útil de un activo intangible, se considerará que este tiene vida útil indefinida y no será objeto de amortización. </w:t>
      </w:r>
    </w:p>
    <w:p w14:paraId="3A24ACA9" w14:textId="77777777" w:rsidR="00F53AB1" w:rsidRPr="00A85FEA" w:rsidRDefault="00F53AB1" w:rsidP="007D5D9B">
      <w:pPr>
        <w:jc w:val="both"/>
        <w:rPr>
          <w:rFonts w:cs="Arial"/>
          <w:szCs w:val="22"/>
        </w:rPr>
      </w:pPr>
    </w:p>
    <w:p w14:paraId="2C00B12D" w14:textId="77777777" w:rsidR="00F53AB1" w:rsidRPr="00A85FEA" w:rsidRDefault="00F53AB1" w:rsidP="007D5D9B">
      <w:pPr>
        <w:jc w:val="both"/>
        <w:rPr>
          <w:rFonts w:cs="Arial"/>
          <w:szCs w:val="22"/>
        </w:rPr>
      </w:pPr>
      <w:r w:rsidRPr="00A85FEA">
        <w:rPr>
          <w:rFonts w:cs="Arial"/>
          <w:szCs w:val="22"/>
        </w:rPr>
        <w:t>La vida útil de los activos intangibles estará dada por el menor periodo entre el tiempo en que se obtendrían los beneficios económicos o el potencial de servicio esperado y el plazo establecido conforme a los términos contractuales, siempre y cuando el activo intangible se encuentre asociado a un derecho contractual o legal.</w:t>
      </w:r>
    </w:p>
    <w:p w14:paraId="3199E6C3" w14:textId="77777777" w:rsidR="00F53AB1" w:rsidRPr="00A85FEA" w:rsidRDefault="00F53AB1" w:rsidP="007D5D9B">
      <w:pPr>
        <w:jc w:val="both"/>
        <w:rPr>
          <w:rFonts w:cs="Arial"/>
          <w:szCs w:val="22"/>
        </w:rPr>
      </w:pPr>
    </w:p>
    <w:p w14:paraId="78369164" w14:textId="77777777" w:rsidR="00F53AB1" w:rsidRPr="00A85FEA" w:rsidRDefault="00F53AB1" w:rsidP="007D5D9B">
      <w:pPr>
        <w:jc w:val="both"/>
        <w:rPr>
          <w:rFonts w:cs="Arial"/>
          <w:szCs w:val="22"/>
        </w:rPr>
      </w:pPr>
      <w:r w:rsidRPr="00A85FEA">
        <w:rPr>
          <w:rFonts w:cs="Arial"/>
          <w:szCs w:val="22"/>
        </w:rPr>
        <w:t xml:space="preserve">La vida útil de un activo intangible asociado a un derecho contractual o legal fijado por un plazo limitado que puede renovarse, incluirá el periodo de renovación cuando exista evidencia que respalde que la renovación no tiene un costo significativo. Si el costo de la renovación es significativo en comparación con los beneficios económicos futuros o el potencial de servicio que se espera </w:t>
      </w:r>
      <w:r w:rsidR="005A13EF" w:rsidRPr="00A85FEA">
        <w:rPr>
          <w:rFonts w:cs="Arial"/>
          <w:szCs w:val="22"/>
        </w:rPr>
        <w:t>fluya</w:t>
      </w:r>
      <w:r w:rsidRPr="00A85FEA">
        <w:rPr>
          <w:rFonts w:cs="Arial"/>
          <w:szCs w:val="22"/>
        </w:rPr>
        <w:t xml:space="preserve"> a la entidad como resultado de esta, estos costos formarán parte del costo de adquisición de un nuevo activo intangible en la fecha de renovación. </w:t>
      </w:r>
    </w:p>
    <w:p w14:paraId="60749F43" w14:textId="77777777" w:rsidR="00F53AB1" w:rsidRPr="00A85FEA" w:rsidRDefault="00F53AB1" w:rsidP="000D4956">
      <w:pPr>
        <w:jc w:val="both"/>
        <w:rPr>
          <w:rFonts w:cs="Arial"/>
          <w:szCs w:val="22"/>
        </w:rPr>
      </w:pPr>
    </w:p>
    <w:p w14:paraId="750EC9F1" w14:textId="77777777" w:rsidR="00F53AB1" w:rsidRPr="00A85FEA" w:rsidRDefault="00F53AB1" w:rsidP="000D4956">
      <w:pPr>
        <w:jc w:val="both"/>
        <w:rPr>
          <w:rFonts w:eastAsia="Calibri" w:cs="Arial"/>
          <w:i/>
          <w:szCs w:val="22"/>
        </w:rPr>
      </w:pPr>
      <w:r w:rsidRPr="00A85FEA">
        <w:rPr>
          <w:rFonts w:eastAsia="Calibri" w:cs="Arial"/>
          <w:i/>
          <w:szCs w:val="22"/>
        </w:rPr>
        <w:t>La Corporación para el Desarrollo Sostenible del Norte y el Oriente Amazónico – CDA define como política que la vida útil de los activos intangibles será indefinida. Cuando el activo intangible no genere beneficios económicos o potencial de servicio o no se espere utilizarlo se dará de baja en libros.</w:t>
      </w:r>
    </w:p>
    <w:p w14:paraId="53662560" w14:textId="77777777" w:rsidR="00F53AB1" w:rsidRPr="00A85FEA" w:rsidRDefault="00F53AB1" w:rsidP="00D87929">
      <w:pPr>
        <w:rPr>
          <w:rFonts w:cs="Arial"/>
          <w:szCs w:val="22"/>
        </w:rPr>
      </w:pPr>
    </w:p>
    <w:p w14:paraId="10B4B369" w14:textId="77777777" w:rsidR="00F53AB1" w:rsidRPr="00A85FEA" w:rsidRDefault="00F53AB1" w:rsidP="00D87929">
      <w:pPr>
        <w:rPr>
          <w:rFonts w:cs="Arial"/>
          <w:szCs w:val="22"/>
        </w:rPr>
      </w:pPr>
      <w:r w:rsidRPr="00A85FEA">
        <w:rPr>
          <w:rFonts w:cs="Arial"/>
          <w:szCs w:val="22"/>
        </w:rPr>
        <w:t xml:space="preserve">7.7.3. Deterioro </w:t>
      </w:r>
    </w:p>
    <w:p w14:paraId="7F538D52" w14:textId="77777777" w:rsidR="00F53AB1" w:rsidRPr="00A85FEA" w:rsidRDefault="00F53AB1" w:rsidP="00D87929">
      <w:pPr>
        <w:rPr>
          <w:rFonts w:cs="Arial"/>
          <w:szCs w:val="22"/>
        </w:rPr>
      </w:pPr>
    </w:p>
    <w:p w14:paraId="43617C3F" w14:textId="77777777" w:rsidR="00F53AB1" w:rsidRPr="00A85FEA" w:rsidRDefault="00F53AB1" w:rsidP="005A13EF">
      <w:pPr>
        <w:jc w:val="both"/>
        <w:rPr>
          <w:rFonts w:cs="Arial"/>
          <w:szCs w:val="22"/>
        </w:rPr>
      </w:pPr>
      <w:r w:rsidRPr="00A85FEA">
        <w:rPr>
          <w:rFonts w:cs="Arial"/>
          <w:szCs w:val="22"/>
        </w:rPr>
        <w:t xml:space="preserve">Para efectos de determinar el deterioro de un activo intangible, la Corporación para el Desarrollo Sostenible del Norte y el Oriente Amazónico – CDA aplicará lo establecido en las normas de Deterioro del valor de los activos generadores de efectivo o de Deterioro del valor de los activos no generadores de efectivo. </w:t>
      </w:r>
    </w:p>
    <w:p w14:paraId="0DE867AA" w14:textId="77777777" w:rsidR="00F53AB1" w:rsidRPr="00A85FEA" w:rsidRDefault="00F53AB1" w:rsidP="005A13EF">
      <w:pPr>
        <w:jc w:val="both"/>
        <w:rPr>
          <w:rFonts w:cs="Arial"/>
          <w:szCs w:val="22"/>
        </w:rPr>
      </w:pPr>
    </w:p>
    <w:p w14:paraId="27DD9204" w14:textId="77777777" w:rsidR="00F53AB1" w:rsidRPr="00A85FEA" w:rsidRDefault="00F53AB1" w:rsidP="005A13EF">
      <w:pPr>
        <w:jc w:val="both"/>
        <w:rPr>
          <w:rFonts w:cs="Arial"/>
          <w:szCs w:val="22"/>
        </w:rPr>
      </w:pPr>
      <w:r w:rsidRPr="00A85FEA">
        <w:rPr>
          <w:rFonts w:cs="Arial"/>
          <w:szCs w:val="22"/>
        </w:rPr>
        <w:t>La compensación procedente de terceros por elementos deteriorados de activos intangibles o por indemnizaciones recibidas producto de pérdidas o abandonos se reconocerá como ingreso en el resultado del periodo en el momento en que la compensación sea exigible.</w:t>
      </w:r>
    </w:p>
    <w:p w14:paraId="7A377233" w14:textId="77777777" w:rsidR="00F53AB1" w:rsidRPr="00A85FEA" w:rsidRDefault="00F53AB1" w:rsidP="005A13EF">
      <w:pPr>
        <w:pStyle w:val="Ttulo1"/>
        <w:rPr>
          <w:rFonts w:ascii="Arial" w:hAnsi="Arial" w:cs="Arial"/>
          <w:color w:val="auto"/>
          <w:sz w:val="22"/>
          <w:szCs w:val="22"/>
          <w:lang w:eastAsia="es-CO"/>
        </w:rPr>
      </w:pPr>
      <w:bookmarkStart w:id="130" w:name="_Toc525721426"/>
      <w:r w:rsidRPr="00A85FEA">
        <w:rPr>
          <w:rFonts w:ascii="Arial" w:hAnsi="Arial" w:cs="Arial"/>
          <w:color w:val="auto"/>
          <w:sz w:val="22"/>
          <w:szCs w:val="22"/>
          <w:lang w:eastAsia="es-CO"/>
        </w:rPr>
        <w:t>7.8. Gestión de riesgo</w:t>
      </w:r>
      <w:bookmarkEnd w:id="130"/>
    </w:p>
    <w:p w14:paraId="3C250B0F" w14:textId="77777777" w:rsidR="00F53AB1" w:rsidRPr="00A85FEA" w:rsidRDefault="00F53AB1" w:rsidP="00D87929">
      <w:pPr>
        <w:rPr>
          <w:rFonts w:cs="Arial"/>
          <w:szCs w:val="22"/>
        </w:rPr>
      </w:pPr>
    </w:p>
    <w:p w14:paraId="74261417" w14:textId="77777777" w:rsidR="00F53AB1" w:rsidRPr="00A85FEA" w:rsidRDefault="00F53AB1" w:rsidP="005A13EF">
      <w:pPr>
        <w:jc w:val="both"/>
        <w:rPr>
          <w:rFonts w:cs="Arial"/>
          <w:szCs w:val="22"/>
        </w:rPr>
      </w:pPr>
      <w:r w:rsidRPr="00A85FEA">
        <w:rPr>
          <w:rFonts w:cs="Arial"/>
          <w:szCs w:val="22"/>
        </w:rPr>
        <w:t>Registrar como intangibles erogaciones que no cumplen con los criterios de reconocimiento de un activo intangible</w:t>
      </w:r>
      <w:r w:rsidR="005A13EF" w:rsidRPr="00A85FEA">
        <w:rPr>
          <w:rFonts w:cs="Arial"/>
          <w:szCs w:val="22"/>
        </w:rPr>
        <w:t>.</w:t>
      </w:r>
    </w:p>
    <w:p w14:paraId="73DDA7CB" w14:textId="77777777" w:rsidR="00F53AB1" w:rsidRPr="00A85FEA" w:rsidRDefault="00F53AB1" w:rsidP="005A13EF">
      <w:pPr>
        <w:pStyle w:val="Ttulo1"/>
        <w:rPr>
          <w:rFonts w:ascii="Arial" w:hAnsi="Arial" w:cs="Arial"/>
          <w:color w:val="auto"/>
          <w:sz w:val="22"/>
          <w:szCs w:val="22"/>
        </w:rPr>
      </w:pPr>
      <w:bookmarkStart w:id="131" w:name="_Toc525721427"/>
      <w:r w:rsidRPr="00A85FEA">
        <w:rPr>
          <w:rFonts w:ascii="Arial" w:hAnsi="Arial" w:cs="Arial"/>
          <w:color w:val="auto"/>
          <w:sz w:val="22"/>
          <w:szCs w:val="22"/>
        </w:rPr>
        <w:t>7.9. Controles contables</w:t>
      </w:r>
      <w:bookmarkEnd w:id="131"/>
    </w:p>
    <w:p w14:paraId="197B1740" w14:textId="77777777" w:rsidR="00F53AB1" w:rsidRPr="00A85FEA" w:rsidRDefault="00F53AB1" w:rsidP="00D87929">
      <w:pPr>
        <w:rPr>
          <w:rFonts w:cs="Arial"/>
          <w:szCs w:val="22"/>
        </w:rPr>
      </w:pPr>
    </w:p>
    <w:p w14:paraId="2237B982" w14:textId="77777777" w:rsidR="00F53AB1" w:rsidRPr="00A85FEA" w:rsidRDefault="00F53AB1" w:rsidP="005A13EF">
      <w:pPr>
        <w:jc w:val="both"/>
        <w:rPr>
          <w:rFonts w:cs="Arial"/>
          <w:szCs w:val="22"/>
        </w:rPr>
      </w:pPr>
      <w:r w:rsidRPr="00A85FEA">
        <w:rPr>
          <w:rFonts w:cs="Arial"/>
          <w:szCs w:val="22"/>
        </w:rPr>
        <w:t>Garantizar la adecuada identificación los activos intangibles.</w:t>
      </w:r>
    </w:p>
    <w:p w14:paraId="4ED48019" w14:textId="77777777" w:rsidR="00F53AB1" w:rsidRPr="00A85FEA" w:rsidRDefault="00F53AB1" w:rsidP="005A13EF">
      <w:pPr>
        <w:jc w:val="both"/>
        <w:rPr>
          <w:rFonts w:cs="Arial"/>
          <w:szCs w:val="22"/>
        </w:rPr>
      </w:pPr>
      <w:r w:rsidRPr="00A85FEA">
        <w:rPr>
          <w:rFonts w:cs="Arial"/>
          <w:szCs w:val="22"/>
        </w:rPr>
        <w:t>Determinar que existen contratos que soportan los derechos adquiridos.</w:t>
      </w:r>
    </w:p>
    <w:p w14:paraId="4943310C" w14:textId="77777777" w:rsidR="00F53AB1" w:rsidRPr="00A85FEA" w:rsidRDefault="00F53AB1" w:rsidP="005A13EF">
      <w:pPr>
        <w:jc w:val="both"/>
        <w:rPr>
          <w:rFonts w:cs="Arial"/>
          <w:szCs w:val="22"/>
        </w:rPr>
      </w:pPr>
      <w:r w:rsidRPr="00A85FEA">
        <w:rPr>
          <w:rFonts w:cs="Arial"/>
          <w:szCs w:val="22"/>
        </w:rPr>
        <w:t>Determinar que existan los derechos legales para el uso de los activos intangibles.</w:t>
      </w:r>
    </w:p>
    <w:p w14:paraId="31BD7DC4" w14:textId="77777777" w:rsidR="00F53AB1" w:rsidRPr="00A85FEA" w:rsidRDefault="00F53AB1" w:rsidP="005A13EF">
      <w:pPr>
        <w:pStyle w:val="Ttulo1"/>
        <w:rPr>
          <w:rFonts w:ascii="Arial" w:hAnsi="Arial" w:cs="Arial"/>
          <w:color w:val="auto"/>
          <w:sz w:val="22"/>
          <w:szCs w:val="22"/>
        </w:rPr>
      </w:pPr>
      <w:bookmarkStart w:id="132" w:name="_Toc525721428"/>
      <w:r w:rsidRPr="00A85FEA">
        <w:rPr>
          <w:rFonts w:ascii="Arial" w:hAnsi="Arial" w:cs="Arial"/>
          <w:color w:val="auto"/>
          <w:sz w:val="22"/>
          <w:szCs w:val="22"/>
        </w:rPr>
        <w:lastRenderedPageBreak/>
        <w:t>7.10. Baja en cuentas</w:t>
      </w:r>
      <w:bookmarkEnd w:id="132"/>
      <w:r w:rsidRPr="00A85FEA">
        <w:rPr>
          <w:rFonts w:ascii="Arial" w:hAnsi="Arial" w:cs="Arial"/>
          <w:color w:val="auto"/>
          <w:sz w:val="22"/>
          <w:szCs w:val="22"/>
        </w:rPr>
        <w:t xml:space="preserve"> </w:t>
      </w:r>
    </w:p>
    <w:p w14:paraId="4D8E8AF7" w14:textId="77777777" w:rsidR="00F53AB1" w:rsidRPr="00A85FEA" w:rsidRDefault="00F53AB1" w:rsidP="00D87929">
      <w:pPr>
        <w:rPr>
          <w:rFonts w:cs="Arial"/>
          <w:szCs w:val="22"/>
        </w:rPr>
      </w:pPr>
    </w:p>
    <w:p w14:paraId="7075F97F" w14:textId="77777777" w:rsidR="00F53AB1" w:rsidRPr="00A85FEA" w:rsidRDefault="00F53AB1" w:rsidP="00635268">
      <w:pPr>
        <w:jc w:val="both"/>
        <w:rPr>
          <w:rFonts w:cs="Arial"/>
          <w:szCs w:val="22"/>
        </w:rPr>
      </w:pPr>
      <w:r w:rsidRPr="00A85FEA">
        <w:rPr>
          <w:rFonts w:cs="Arial"/>
          <w:szCs w:val="22"/>
        </w:rPr>
        <w:t xml:space="preserve">Un activo intangible se dará de baja cuando no cumpla con los requisitos establecidos para que se reconozca como tal. Esto se puede presentar cuando se dispone del elemento o cuando no se espera obtener un potencial de servicio o beneficios económicos futuros por su uso o enajenación. La pérdida o ganancia fruto de la baja en cuentas del activo intangible se calculará como la diferencia entre el valor neto obtenido por la disposición del activo y su valor en libros, y se reconocerá como ingreso o gasto en el resultado del periodo. </w:t>
      </w:r>
    </w:p>
    <w:p w14:paraId="78F1802F" w14:textId="77777777" w:rsidR="00F53AB1" w:rsidRPr="00A85FEA" w:rsidRDefault="00F53AB1" w:rsidP="005A13EF">
      <w:pPr>
        <w:pStyle w:val="Ttulo1"/>
        <w:rPr>
          <w:rFonts w:ascii="Arial" w:hAnsi="Arial" w:cs="Arial"/>
          <w:color w:val="auto"/>
          <w:sz w:val="22"/>
          <w:szCs w:val="22"/>
        </w:rPr>
      </w:pPr>
      <w:bookmarkStart w:id="133" w:name="_Toc525721429"/>
      <w:r w:rsidRPr="00A85FEA">
        <w:rPr>
          <w:rFonts w:ascii="Arial" w:hAnsi="Arial" w:cs="Arial"/>
          <w:color w:val="auto"/>
          <w:sz w:val="22"/>
          <w:szCs w:val="22"/>
        </w:rPr>
        <w:t>7.11. Revelaciones</w:t>
      </w:r>
      <w:bookmarkEnd w:id="133"/>
      <w:r w:rsidRPr="00A85FEA">
        <w:rPr>
          <w:rFonts w:ascii="Arial" w:hAnsi="Arial" w:cs="Arial"/>
          <w:color w:val="auto"/>
          <w:sz w:val="22"/>
          <w:szCs w:val="22"/>
        </w:rPr>
        <w:t xml:space="preserve"> </w:t>
      </w:r>
    </w:p>
    <w:p w14:paraId="63CF7F70" w14:textId="77777777" w:rsidR="00F53AB1" w:rsidRPr="00A85FEA" w:rsidRDefault="00F53AB1" w:rsidP="00D87929">
      <w:pPr>
        <w:rPr>
          <w:rFonts w:cs="Arial"/>
          <w:szCs w:val="22"/>
        </w:rPr>
      </w:pPr>
    </w:p>
    <w:p w14:paraId="2A58C8FA" w14:textId="77777777" w:rsidR="00F53AB1" w:rsidRPr="00A85FEA" w:rsidRDefault="00F53AB1" w:rsidP="00635268">
      <w:pPr>
        <w:jc w:val="both"/>
        <w:rPr>
          <w:rFonts w:cs="Arial"/>
          <w:szCs w:val="22"/>
        </w:rPr>
      </w:pPr>
      <w:r w:rsidRPr="00A85FEA">
        <w:rPr>
          <w:rFonts w:cs="Arial"/>
          <w:szCs w:val="22"/>
        </w:rPr>
        <w:t xml:space="preserve">La Corporación para el Desarrollo Sostenible del Norte y el Oriente Amazónico – CDA revelará, para cada clase de activos intangibles, lo siguiente: </w:t>
      </w:r>
    </w:p>
    <w:p w14:paraId="2B22D7C4" w14:textId="77777777" w:rsidR="00F53AB1" w:rsidRPr="00A85FEA" w:rsidRDefault="00F53AB1" w:rsidP="00635268">
      <w:pPr>
        <w:jc w:val="both"/>
        <w:rPr>
          <w:rFonts w:cs="Arial"/>
          <w:szCs w:val="22"/>
        </w:rPr>
      </w:pPr>
      <w:r w:rsidRPr="00A85FEA">
        <w:rPr>
          <w:rFonts w:cs="Arial"/>
          <w:szCs w:val="22"/>
        </w:rPr>
        <w:t xml:space="preserve"> </w:t>
      </w:r>
    </w:p>
    <w:p w14:paraId="72BC55D6" w14:textId="77777777" w:rsidR="00F53AB1" w:rsidRPr="00A85FEA" w:rsidRDefault="005A13EF" w:rsidP="00635268">
      <w:pPr>
        <w:jc w:val="both"/>
        <w:rPr>
          <w:rFonts w:cs="Arial"/>
          <w:szCs w:val="22"/>
        </w:rPr>
      </w:pPr>
      <w:r w:rsidRPr="00A85FEA">
        <w:rPr>
          <w:rFonts w:cs="Arial"/>
          <w:szCs w:val="22"/>
        </w:rPr>
        <w:t>La</w:t>
      </w:r>
      <w:r w:rsidR="00F53AB1" w:rsidRPr="00A85FEA">
        <w:rPr>
          <w:rFonts w:cs="Arial"/>
          <w:szCs w:val="22"/>
        </w:rPr>
        <w:t xml:space="preserve"> descripción de si las vidas útiles de los activos intangibles son finitas o indefinidas; el valor en libros bruto e incluyendo las pérdidas por deterioro del valor acumuladas, al principio y final del periodo contable; la una conciliación entre los valores en libros al principio y al final del periodo contable que muestre por separado lo siguiente: adiciones realizadas, disposiciones o ventas, adquisiciones, pérdidas por deterioro del valor y otros cambios;</w:t>
      </w:r>
      <w:r w:rsidRPr="00A85FEA">
        <w:rPr>
          <w:rFonts w:cs="Arial"/>
          <w:szCs w:val="22"/>
        </w:rPr>
        <w:t xml:space="preserve"> </w:t>
      </w:r>
      <w:r w:rsidR="00F53AB1" w:rsidRPr="00A85FEA">
        <w:rPr>
          <w:rFonts w:cs="Arial"/>
          <w:szCs w:val="22"/>
        </w:rPr>
        <w:t>el valor por el que se hayan reconocido inicialmente los activos intangibles adquiridos mediante una transacción sin contraprestación; el valor en libros de los activos intangibles cuya titularidad o derecho de dominio tenga alguna restricción o de aquellos que estén garantizando el cumplimiento de pasivos;</w:t>
      </w:r>
      <w:r w:rsidRPr="00A85FEA">
        <w:rPr>
          <w:rFonts w:cs="Arial"/>
          <w:szCs w:val="22"/>
        </w:rPr>
        <w:t xml:space="preserve"> </w:t>
      </w:r>
      <w:r w:rsidR="00F53AB1" w:rsidRPr="00A85FEA">
        <w:rPr>
          <w:rFonts w:cs="Arial"/>
          <w:szCs w:val="22"/>
        </w:rPr>
        <w:t xml:space="preserve">el valor de los desembolsos para investigación y desarrollo que se hayan reconocido como gasto durante el periodo; y </w:t>
      </w:r>
    </w:p>
    <w:p w14:paraId="3E35F891" w14:textId="77777777" w:rsidR="00F53AB1" w:rsidRPr="00A85FEA" w:rsidRDefault="00D22861" w:rsidP="005A13EF">
      <w:pPr>
        <w:jc w:val="both"/>
        <w:rPr>
          <w:rFonts w:cs="Arial"/>
          <w:szCs w:val="22"/>
        </w:rPr>
      </w:pPr>
      <w:r w:rsidRPr="00A85FEA">
        <w:rPr>
          <w:rFonts w:cs="Arial"/>
          <w:szCs w:val="22"/>
        </w:rPr>
        <w:t>La</w:t>
      </w:r>
      <w:r w:rsidR="00F53AB1" w:rsidRPr="00A85FEA">
        <w:rPr>
          <w:rFonts w:cs="Arial"/>
          <w:szCs w:val="22"/>
        </w:rPr>
        <w:t xml:space="preserve"> información sobre su condición de activo en concesión, cuando a ello haya lugar.</w:t>
      </w:r>
    </w:p>
    <w:p w14:paraId="378D960A" w14:textId="77777777" w:rsidR="00F53AB1" w:rsidRPr="00A85FEA" w:rsidRDefault="00F53AB1" w:rsidP="00D22861">
      <w:pPr>
        <w:pStyle w:val="Ttulo1"/>
        <w:rPr>
          <w:rFonts w:ascii="Arial" w:hAnsi="Arial" w:cs="Arial"/>
          <w:color w:val="auto"/>
          <w:sz w:val="22"/>
          <w:szCs w:val="22"/>
        </w:rPr>
      </w:pPr>
      <w:bookmarkStart w:id="134" w:name="_Toc525721430"/>
      <w:r w:rsidRPr="00A85FEA">
        <w:rPr>
          <w:rFonts w:ascii="Arial" w:hAnsi="Arial" w:cs="Arial"/>
          <w:color w:val="auto"/>
          <w:sz w:val="22"/>
          <w:szCs w:val="22"/>
        </w:rPr>
        <w:t>8. DETERIORO DEL VALOR DE LOS ACTIVOS NO GENERADORES DE EFECTIVO</w:t>
      </w:r>
      <w:bookmarkEnd w:id="134"/>
      <w:r w:rsidRPr="00A85FEA">
        <w:rPr>
          <w:rFonts w:ascii="Arial" w:hAnsi="Arial" w:cs="Arial"/>
          <w:color w:val="auto"/>
          <w:sz w:val="22"/>
          <w:szCs w:val="22"/>
        </w:rPr>
        <w:t xml:space="preserve"> </w:t>
      </w:r>
    </w:p>
    <w:p w14:paraId="4DC1BC6C" w14:textId="77777777" w:rsidR="00F53AB1" w:rsidRPr="00A85FEA" w:rsidRDefault="00F53AB1" w:rsidP="00D22861">
      <w:pPr>
        <w:pStyle w:val="Ttulo1"/>
        <w:rPr>
          <w:rFonts w:ascii="Arial" w:hAnsi="Arial" w:cs="Arial"/>
          <w:color w:val="auto"/>
          <w:sz w:val="22"/>
          <w:szCs w:val="22"/>
        </w:rPr>
      </w:pPr>
      <w:bookmarkStart w:id="135" w:name="_Toc525721431"/>
      <w:r w:rsidRPr="00A85FEA">
        <w:rPr>
          <w:rFonts w:ascii="Arial" w:hAnsi="Arial" w:cs="Arial"/>
          <w:color w:val="auto"/>
          <w:sz w:val="22"/>
          <w:szCs w:val="22"/>
        </w:rPr>
        <w:t>8.1. Objetivo</w:t>
      </w:r>
      <w:bookmarkEnd w:id="135"/>
    </w:p>
    <w:p w14:paraId="1C665D51" w14:textId="77777777" w:rsidR="00F53AB1" w:rsidRPr="00A85FEA" w:rsidRDefault="00F53AB1" w:rsidP="00D87929">
      <w:pPr>
        <w:rPr>
          <w:rFonts w:cs="Arial"/>
          <w:szCs w:val="22"/>
        </w:rPr>
      </w:pPr>
    </w:p>
    <w:p w14:paraId="1E16BD5A" w14:textId="77777777" w:rsidR="00F53AB1" w:rsidRPr="00A85FEA" w:rsidRDefault="00F53AB1" w:rsidP="00D87929">
      <w:pPr>
        <w:rPr>
          <w:rFonts w:cs="Arial"/>
          <w:szCs w:val="22"/>
        </w:rPr>
      </w:pPr>
      <w:r w:rsidRPr="00A85FEA">
        <w:rPr>
          <w:rFonts w:cs="Arial"/>
          <w:szCs w:val="22"/>
        </w:rPr>
        <w:t xml:space="preserve">Establecer los procedimientos que la Corporación para el Desarrollo Sostenible del Norte y el Oriente Amazónico – CDA aplicará para determinar si los activos no generadores de efectivo han sufrido deterioro de su valor. </w:t>
      </w:r>
    </w:p>
    <w:p w14:paraId="696ADFC3" w14:textId="77777777" w:rsidR="00F53AB1" w:rsidRPr="00A85FEA" w:rsidRDefault="00F53AB1" w:rsidP="00D22861">
      <w:pPr>
        <w:pStyle w:val="Ttulo1"/>
        <w:rPr>
          <w:rFonts w:ascii="Arial" w:hAnsi="Arial" w:cs="Arial"/>
          <w:color w:val="auto"/>
          <w:sz w:val="22"/>
          <w:szCs w:val="22"/>
        </w:rPr>
      </w:pPr>
      <w:bookmarkStart w:id="136" w:name="_Toc525721432"/>
      <w:r w:rsidRPr="00A85FEA">
        <w:rPr>
          <w:rFonts w:ascii="Arial" w:hAnsi="Arial" w:cs="Arial"/>
          <w:color w:val="auto"/>
          <w:sz w:val="22"/>
          <w:szCs w:val="22"/>
        </w:rPr>
        <w:t>8.2. Normatividad relacionada</w:t>
      </w:r>
      <w:bookmarkEnd w:id="136"/>
    </w:p>
    <w:p w14:paraId="44173347" w14:textId="77777777" w:rsidR="00F53AB1" w:rsidRPr="00A85FEA" w:rsidRDefault="00F53AB1" w:rsidP="00D87929">
      <w:pPr>
        <w:rPr>
          <w:rFonts w:cs="Arial"/>
          <w:szCs w:val="22"/>
        </w:rPr>
      </w:pPr>
      <w:r w:rsidRPr="00A85FEA">
        <w:rPr>
          <w:rFonts w:cs="Arial"/>
          <w:szCs w:val="22"/>
        </w:rPr>
        <w:t xml:space="preserve">   </w:t>
      </w:r>
    </w:p>
    <w:p w14:paraId="4916F2CD" w14:textId="77777777" w:rsidR="00F53AB1" w:rsidRPr="00A85FEA" w:rsidRDefault="00F53AB1" w:rsidP="000D4956">
      <w:pPr>
        <w:jc w:val="both"/>
        <w:rPr>
          <w:rFonts w:cs="Arial"/>
          <w:szCs w:val="22"/>
        </w:rPr>
      </w:pPr>
      <w:r w:rsidRPr="00A85FEA">
        <w:rPr>
          <w:rFonts w:cs="Arial"/>
          <w:szCs w:val="22"/>
        </w:rPr>
        <w:lastRenderedPageBreak/>
        <w:t>Normas para el Reconocimiento, Medición, Revelación y Presentación de los Hechos Económicos de las entidades de Gobierno, Capítulo I. Activos, Numeral 20. Deterioro del valor de los activos no generadores de efectivo.</w:t>
      </w:r>
    </w:p>
    <w:p w14:paraId="106D6B4E" w14:textId="77777777" w:rsidR="00F53AB1" w:rsidRPr="00A85FEA" w:rsidRDefault="00F53AB1" w:rsidP="00D22861">
      <w:pPr>
        <w:pStyle w:val="Ttulo1"/>
        <w:rPr>
          <w:rFonts w:ascii="Arial" w:hAnsi="Arial" w:cs="Arial"/>
          <w:color w:val="auto"/>
          <w:sz w:val="22"/>
          <w:szCs w:val="22"/>
        </w:rPr>
      </w:pPr>
      <w:bookmarkStart w:id="137" w:name="_Toc525721433"/>
      <w:r w:rsidRPr="00A85FEA">
        <w:rPr>
          <w:rFonts w:ascii="Arial" w:hAnsi="Arial" w:cs="Arial"/>
          <w:color w:val="auto"/>
          <w:sz w:val="22"/>
          <w:szCs w:val="22"/>
        </w:rPr>
        <w:t>8.3. Alcance</w:t>
      </w:r>
      <w:bookmarkEnd w:id="137"/>
    </w:p>
    <w:p w14:paraId="50BA5817" w14:textId="77777777" w:rsidR="00F53AB1" w:rsidRPr="00A85FEA" w:rsidRDefault="00F53AB1" w:rsidP="00D87929">
      <w:pPr>
        <w:rPr>
          <w:rFonts w:cs="Arial"/>
          <w:szCs w:val="22"/>
        </w:rPr>
      </w:pPr>
    </w:p>
    <w:p w14:paraId="17D25282" w14:textId="77777777" w:rsidR="00F53AB1" w:rsidRPr="00A85FEA" w:rsidRDefault="00F53AB1" w:rsidP="000D4956">
      <w:pPr>
        <w:jc w:val="both"/>
        <w:rPr>
          <w:rFonts w:cs="Arial"/>
          <w:szCs w:val="22"/>
        </w:rPr>
      </w:pPr>
      <w:r w:rsidRPr="00A85FEA">
        <w:rPr>
          <w:rFonts w:cs="Arial"/>
          <w:szCs w:val="22"/>
        </w:rPr>
        <w:t>Esta Norma se aplicará para la contabilización del deterioro del valor de los activos no generadores de efectivo que la Corporación para el Desarrollo Sostenible del Norte y el Oriente Amazónico – CDA considere materiales y que estén clasificados como: a) propiedades, planta y equipo y b) activos intangibles.</w:t>
      </w:r>
    </w:p>
    <w:p w14:paraId="7AB40B22" w14:textId="77777777" w:rsidR="00F53AB1" w:rsidRPr="00A85FEA" w:rsidRDefault="00F53AB1" w:rsidP="00D22861">
      <w:pPr>
        <w:pStyle w:val="Ttulo1"/>
        <w:rPr>
          <w:rFonts w:ascii="Arial" w:hAnsi="Arial" w:cs="Arial"/>
          <w:color w:val="auto"/>
          <w:sz w:val="22"/>
          <w:szCs w:val="22"/>
        </w:rPr>
      </w:pPr>
      <w:bookmarkStart w:id="138" w:name="_Toc525721434"/>
      <w:r w:rsidRPr="00A85FEA">
        <w:rPr>
          <w:rFonts w:ascii="Arial" w:hAnsi="Arial" w:cs="Arial"/>
          <w:color w:val="auto"/>
          <w:sz w:val="22"/>
          <w:szCs w:val="22"/>
        </w:rPr>
        <w:t>8.4. Política Contable General</w:t>
      </w:r>
      <w:bookmarkEnd w:id="138"/>
    </w:p>
    <w:p w14:paraId="681C033F" w14:textId="77777777" w:rsidR="00F53AB1" w:rsidRPr="00A85FEA" w:rsidRDefault="00F53AB1" w:rsidP="00D87929">
      <w:pPr>
        <w:rPr>
          <w:rFonts w:cs="Arial"/>
          <w:szCs w:val="22"/>
        </w:rPr>
      </w:pPr>
    </w:p>
    <w:p w14:paraId="15B5774F" w14:textId="77777777" w:rsidR="00F53AB1" w:rsidRPr="00A85FEA" w:rsidRDefault="00F53AB1" w:rsidP="00D22861">
      <w:pPr>
        <w:jc w:val="both"/>
        <w:rPr>
          <w:rFonts w:cs="Arial"/>
          <w:szCs w:val="22"/>
        </w:rPr>
      </w:pPr>
      <w:r w:rsidRPr="00A85FEA">
        <w:rPr>
          <w:rFonts w:cs="Arial"/>
          <w:szCs w:val="22"/>
        </w:rPr>
        <w:t xml:space="preserve">El deterioro del valor de un activo no generador de efectivo es la pérdida en su potencial de servicio, adicional al reconocimiento sistemático realizado a través de la depreciación o amortización. </w:t>
      </w:r>
    </w:p>
    <w:p w14:paraId="6DAEC8FE" w14:textId="77777777" w:rsidR="00F53AB1" w:rsidRPr="00A85FEA" w:rsidRDefault="00F53AB1" w:rsidP="00D22861">
      <w:pPr>
        <w:jc w:val="both"/>
        <w:rPr>
          <w:rFonts w:cs="Arial"/>
          <w:szCs w:val="22"/>
        </w:rPr>
      </w:pPr>
    </w:p>
    <w:p w14:paraId="6561BA6C" w14:textId="77777777" w:rsidR="00F53AB1" w:rsidRPr="00A85FEA" w:rsidRDefault="00F53AB1" w:rsidP="00D22861">
      <w:pPr>
        <w:jc w:val="both"/>
        <w:rPr>
          <w:rFonts w:cs="Arial"/>
          <w:szCs w:val="22"/>
        </w:rPr>
      </w:pPr>
      <w:r w:rsidRPr="00A85FEA">
        <w:rPr>
          <w:rFonts w:cs="Arial"/>
          <w:szCs w:val="22"/>
        </w:rPr>
        <w:t xml:space="preserve">Los activos no generadores de efectivo son aquellos que la Corporación para el Desarrollo Sostenible del Norte y el Oriente Amazónico – CDA mantiene con el propósito fundamental de prestar servicios en forma gratuita o a precios de no mercado, es decir, la entidad no pretende, a través del uso del activo, generar rendimientos en condiciones de mercado. Cuando la entidad use un activo para suministrar bienes o prestar servicios en forma gratuita o a precios de no mercado, y para suministrar bienes o prestar servicios en condiciones de mercado, clasificará el activo como no generador de efectivo salvo que el uso del activo en el suministro de bienes o en la prestación de servicios en forma gratuita o a precios de no mercado sea insignificante. </w:t>
      </w:r>
    </w:p>
    <w:p w14:paraId="7139AEB4" w14:textId="77777777" w:rsidR="00F53AB1" w:rsidRPr="00A85FEA" w:rsidRDefault="00F53AB1" w:rsidP="00D22861">
      <w:pPr>
        <w:jc w:val="both"/>
        <w:rPr>
          <w:rFonts w:cs="Arial"/>
          <w:i/>
          <w:szCs w:val="22"/>
        </w:rPr>
      </w:pPr>
    </w:p>
    <w:p w14:paraId="4CF017B1" w14:textId="77777777" w:rsidR="00F53AB1" w:rsidRPr="00A85FEA" w:rsidRDefault="00F53AB1" w:rsidP="00D22861">
      <w:pPr>
        <w:jc w:val="both"/>
        <w:rPr>
          <w:rFonts w:cs="Arial"/>
          <w:i/>
          <w:szCs w:val="22"/>
        </w:rPr>
      </w:pPr>
      <w:r w:rsidRPr="00A85FEA">
        <w:rPr>
          <w:rFonts w:cs="Arial"/>
          <w:i/>
          <w:szCs w:val="22"/>
        </w:rPr>
        <w:t>La Corporación para el Desarrollo Sostenible del Norte y el Oriente Amazónico – CDA define los siguientes criterios de materialidad empleados para identificar los activos que deban ser objeto de aplicación de deterioro del valor.</w:t>
      </w:r>
    </w:p>
    <w:p w14:paraId="31C9B526" w14:textId="77777777" w:rsidR="00F53AB1" w:rsidRPr="00A85FEA" w:rsidRDefault="00F53AB1" w:rsidP="00D87929">
      <w:pPr>
        <w:rPr>
          <w:rFonts w:cs="Arial"/>
          <w:i/>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3946"/>
      </w:tblGrid>
      <w:tr w:rsidR="00F53AB1" w:rsidRPr="00A85FEA" w14:paraId="5024F315" w14:textId="77777777" w:rsidTr="003A339B">
        <w:trPr>
          <w:trHeight w:val="279"/>
          <w:jc w:val="center"/>
        </w:trPr>
        <w:tc>
          <w:tcPr>
            <w:tcW w:w="3569" w:type="dxa"/>
            <w:shd w:val="clear" w:color="auto" w:fill="8496B0"/>
          </w:tcPr>
          <w:p w14:paraId="22373019" w14:textId="77777777" w:rsidR="00F53AB1" w:rsidRPr="00A85FEA" w:rsidRDefault="00F53AB1" w:rsidP="00D87929">
            <w:pPr>
              <w:rPr>
                <w:rFonts w:cs="Arial"/>
                <w:bCs/>
                <w:i/>
                <w:szCs w:val="22"/>
                <w:lang w:val="es-MX"/>
              </w:rPr>
            </w:pPr>
            <w:r w:rsidRPr="00A85FEA">
              <w:rPr>
                <w:rFonts w:cs="Arial"/>
                <w:bCs/>
                <w:i/>
                <w:szCs w:val="22"/>
                <w:lang w:val="es-MX"/>
              </w:rPr>
              <w:t>CLASE DE ACTIVO</w:t>
            </w:r>
          </w:p>
        </w:tc>
        <w:tc>
          <w:tcPr>
            <w:tcW w:w="3946" w:type="dxa"/>
            <w:shd w:val="clear" w:color="auto" w:fill="8496B0"/>
          </w:tcPr>
          <w:p w14:paraId="3A3CF8E3" w14:textId="77777777" w:rsidR="00F53AB1" w:rsidRPr="00A85FEA" w:rsidRDefault="00F53AB1" w:rsidP="00D87929">
            <w:pPr>
              <w:rPr>
                <w:rFonts w:cs="Arial"/>
                <w:bCs/>
                <w:i/>
                <w:szCs w:val="22"/>
                <w:lang w:val="es-MX"/>
              </w:rPr>
            </w:pPr>
            <w:r w:rsidRPr="00A85FEA">
              <w:rPr>
                <w:rFonts w:cs="Arial"/>
                <w:bCs/>
                <w:i/>
                <w:szCs w:val="22"/>
                <w:lang w:val="es-MX"/>
              </w:rPr>
              <w:t>CRITERIO DE MATERIALIDAD</w:t>
            </w:r>
          </w:p>
        </w:tc>
      </w:tr>
      <w:tr w:rsidR="00F53AB1" w:rsidRPr="00A85FEA" w14:paraId="63CB8267" w14:textId="77777777" w:rsidTr="003A339B">
        <w:trPr>
          <w:trHeight w:val="279"/>
          <w:jc w:val="center"/>
        </w:trPr>
        <w:tc>
          <w:tcPr>
            <w:tcW w:w="3569" w:type="dxa"/>
          </w:tcPr>
          <w:p w14:paraId="348E4592" w14:textId="77777777" w:rsidR="00F53AB1" w:rsidRPr="00A85FEA" w:rsidRDefault="00F53AB1" w:rsidP="00D87929">
            <w:pPr>
              <w:rPr>
                <w:rFonts w:cs="Arial"/>
                <w:bCs/>
                <w:i/>
                <w:szCs w:val="22"/>
                <w:lang w:val="es-MX"/>
              </w:rPr>
            </w:pPr>
            <w:r w:rsidRPr="00A85FEA">
              <w:rPr>
                <w:rFonts w:cs="Arial"/>
                <w:bCs/>
                <w:i/>
                <w:szCs w:val="22"/>
                <w:lang w:val="es-MX"/>
              </w:rPr>
              <w:t>Propiedad Planta y Equipo</w:t>
            </w:r>
          </w:p>
        </w:tc>
        <w:tc>
          <w:tcPr>
            <w:tcW w:w="3946" w:type="dxa"/>
          </w:tcPr>
          <w:p w14:paraId="510FBCD1" w14:textId="77777777" w:rsidR="00F53AB1" w:rsidRPr="00A85FEA" w:rsidRDefault="00F53AB1" w:rsidP="00D87929">
            <w:pPr>
              <w:rPr>
                <w:rFonts w:cs="Arial"/>
                <w:i/>
                <w:szCs w:val="22"/>
                <w:lang w:val="es-MX"/>
              </w:rPr>
            </w:pPr>
            <w:r w:rsidRPr="00A85FEA">
              <w:rPr>
                <w:rFonts w:cs="Arial"/>
                <w:i/>
                <w:szCs w:val="22"/>
                <w:lang w:val="es-MX"/>
              </w:rPr>
              <w:t xml:space="preserve">Cuyo valor en libros sea superior a 100 S.M.M.L.V. </w:t>
            </w:r>
          </w:p>
        </w:tc>
      </w:tr>
      <w:tr w:rsidR="00F53AB1" w:rsidRPr="00A85FEA" w14:paraId="79982F38" w14:textId="77777777" w:rsidTr="003A339B">
        <w:trPr>
          <w:trHeight w:val="492"/>
          <w:jc w:val="center"/>
        </w:trPr>
        <w:tc>
          <w:tcPr>
            <w:tcW w:w="3569" w:type="dxa"/>
          </w:tcPr>
          <w:p w14:paraId="11569984" w14:textId="77777777" w:rsidR="00F53AB1" w:rsidRPr="00A85FEA" w:rsidRDefault="00F53AB1" w:rsidP="00D87929">
            <w:pPr>
              <w:rPr>
                <w:rFonts w:cs="Arial"/>
                <w:bCs/>
                <w:i/>
                <w:szCs w:val="22"/>
                <w:lang w:val="es-MX"/>
              </w:rPr>
            </w:pPr>
            <w:r w:rsidRPr="00A85FEA">
              <w:rPr>
                <w:rFonts w:cs="Arial"/>
                <w:bCs/>
                <w:i/>
                <w:szCs w:val="22"/>
                <w:lang w:val="es-MX"/>
              </w:rPr>
              <w:t>Activos Intangibles</w:t>
            </w:r>
          </w:p>
        </w:tc>
        <w:tc>
          <w:tcPr>
            <w:tcW w:w="3946" w:type="dxa"/>
          </w:tcPr>
          <w:p w14:paraId="424C063D" w14:textId="77777777" w:rsidR="00F53AB1" w:rsidRPr="00A85FEA" w:rsidRDefault="00F53AB1" w:rsidP="00D87929">
            <w:pPr>
              <w:rPr>
                <w:rFonts w:cs="Arial"/>
                <w:i/>
                <w:szCs w:val="22"/>
                <w:lang w:val="es-MX"/>
              </w:rPr>
            </w:pPr>
            <w:r w:rsidRPr="00A85FEA">
              <w:rPr>
                <w:rFonts w:cs="Arial"/>
                <w:i/>
                <w:szCs w:val="22"/>
                <w:lang w:val="es-MX"/>
              </w:rPr>
              <w:t>Cuyo valor en libros sea superior a 100 S.M.M.L.V.</w:t>
            </w:r>
          </w:p>
        </w:tc>
      </w:tr>
    </w:tbl>
    <w:p w14:paraId="5E58681C" w14:textId="77777777" w:rsidR="00F53AB1" w:rsidRPr="00A85FEA" w:rsidRDefault="00F53AB1" w:rsidP="00D87929">
      <w:pPr>
        <w:rPr>
          <w:rFonts w:cs="Arial"/>
          <w:i/>
          <w:szCs w:val="22"/>
        </w:rPr>
      </w:pPr>
    </w:p>
    <w:p w14:paraId="009EE240" w14:textId="77777777" w:rsidR="00F53AB1" w:rsidRPr="00A85FEA" w:rsidRDefault="00F53AB1" w:rsidP="000D4956">
      <w:pPr>
        <w:jc w:val="both"/>
        <w:rPr>
          <w:rFonts w:eastAsia="Calibri" w:cs="Arial"/>
          <w:i/>
          <w:szCs w:val="22"/>
        </w:rPr>
      </w:pPr>
      <w:r w:rsidRPr="00A85FEA">
        <w:rPr>
          <w:rFonts w:cs="Arial"/>
          <w:i/>
          <w:szCs w:val="22"/>
        </w:rPr>
        <w:t xml:space="preserve">Para definir la materialidad en esta norma, </w:t>
      </w:r>
      <w:r w:rsidRPr="00A85FEA">
        <w:rPr>
          <w:rFonts w:eastAsia="Calibri" w:cs="Arial"/>
          <w:i/>
          <w:szCs w:val="22"/>
        </w:rPr>
        <w:t>la Corporación para el Desarrollo Sostenible del Norte y el Oriente Amazónico – CDA considero el personal con que cuenta, la edad y el valor de los activos que posee, determinando que aquellos que no cumplan la materialidad serán objeto de ajuste de la vida útil.</w:t>
      </w:r>
    </w:p>
    <w:p w14:paraId="6A5A7030" w14:textId="77777777" w:rsidR="00F53AB1" w:rsidRPr="00A85FEA" w:rsidRDefault="00F53AB1" w:rsidP="00D22861">
      <w:pPr>
        <w:pStyle w:val="Ttulo1"/>
        <w:rPr>
          <w:rFonts w:ascii="Arial" w:hAnsi="Arial" w:cs="Arial"/>
          <w:color w:val="auto"/>
          <w:sz w:val="22"/>
          <w:szCs w:val="22"/>
        </w:rPr>
      </w:pPr>
      <w:bookmarkStart w:id="139" w:name="_Toc525721435"/>
      <w:r w:rsidRPr="00A85FEA">
        <w:rPr>
          <w:rFonts w:ascii="Arial" w:hAnsi="Arial" w:cs="Arial"/>
          <w:color w:val="auto"/>
          <w:sz w:val="22"/>
          <w:szCs w:val="22"/>
          <w:lang w:eastAsia="es-CO"/>
        </w:rPr>
        <w:lastRenderedPageBreak/>
        <w:t xml:space="preserve">8.5. </w:t>
      </w:r>
      <w:r w:rsidRPr="00A85FEA">
        <w:rPr>
          <w:rFonts w:ascii="Arial" w:hAnsi="Arial" w:cs="Arial"/>
          <w:color w:val="auto"/>
          <w:sz w:val="22"/>
          <w:szCs w:val="22"/>
        </w:rPr>
        <w:t xml:space="preserve"> Periodicidad en la comprobación del deterioro del valor</w:t>
      </w:r>
      <w:bookmarkEnd w:id="139"/>
      <w:r w:rsidRPr="00A85FEA">
        <w:rPr>
          <w:rFonts w:ascii="Arial" w:hAnsi="Arial" w:cs="Arial"/>
          <w:color w:val="auto"/>
          <w:sz w:val="22"/>
          <w:szCs w:val="22"/>
        </w:rPr>
        <w:t xml:space="preserve"> </w:t>
      </w:r>
    </w:p>
    <w:p w14:paraId="2A8ED175" w14:textId="77777777" w:rsidR="00F53AB1" w:rsidRPr="00A85FEA" w:rsidRDefault="00F53AB1" w:rsidP="00D87929">
      <w:pPr>
        <w:rPr>
          <w:rFonts w:cs="Arial"/>
          <w:szCs w:val="22"/>
        </w:rPr>
      </w:pPr>
    </w:p>
    <w:p w14:paraId="440649A6" w14:textId="77777777" w:rsidR="00F53AB1" w:rsidRPr="00A85FEA" w:rsidRDefault="00F53AB1" w:rsidP="00D22861">
      <w:pPr>
        <w:jc w:val="both"/>
        <w:rPr>
          <w:rFonts w:cs="Arial"/>
          <w:szCs w:val="22"/>
        </w:rPr>
      </w:pPr>
      <w:r w:rsidRPr="00A85FEA">
        <w:rPr>
          <w:rFonts w:cs="Arial"/>
          <w:szCs w:val="22"/>
        </w:rPr>
        <w:t>Como mínimo, al final del periodo contable la Corporación para el Desarrollo Sostenible del Norte y el Oriente Amazónico – CDA evaluará si existen indicios de deterioro del valor de sus activos no generadores de efectivo. Si existe algún indicio, la entidad estimará el valor de servicio recuperable del activo para comprobar si efectivamente se encuentra deteriorado; en caso contrario, la entidad no estará obligada a realizar una estimación formal del valor del servicio recuperable.</w:t>
      </w:r>
    </w:p>
    <w:p w14:paraId="40443E78" w14:textId="77777777" w:rsidR="00F53AB1" w:rsidRPr="00A85FEA" w:rsidRDefault="00F53AB1" w:rsidP="00D22861">
      <w:pPr>
        <w:jc w:val="both"/>
        <w:rPr>
          <w:rFonts w:cs="Arial"/>
          <w:szCs w:val="22"/>
        </w:rPr>
      </w:pPr>
    </w:p>
    <w:p w14:paraId="151D6148" w14:textId="77777777" w:rsidR="00F53AB1" w:rsidRPr="00A85FEA" w:rsidRDefault="00F53AB1" w:rsidP="00D22861">
      <w:pPr>
        <w:jc w:val="both"/>
        <w:rPr>
          <w:rFonts w:cs="Arial"/>
          <w:bCs/>
          <w:szCs w:val="22"/>
          <w:lang w:eastAsia="es-CO"/>
        </w:rPr>
      </w:pPr>
      <w:r w:rsidRPr="00A85FEA">
        <w:rPr>
          <w:rFonts w:cs="Arial"/>
          <w:szCs w:val="22"/>
        </w:rPr>
        <w:t xml:space="preserve">Para el caso de los activos intangibles con vida útil indefinida y de los activos intangibles que aún no estén disponibles para su uso, la entidad comprobará anualmente si el activo se ha deteriorado independientemente de que existan indicios de deterioro de su valor. La comprobación del deterioro del valor se podrá efectuar en cualquier momento dentro del periodo contable, siempre que se lleve a cabo en la misma fecha cada año. </w:t>
      </w:r>
    </w:p>
    <w:p w14:paraId="2329B8E9" w14:textId="77777777" w:rsidR="00F53AB1" w:rsidRPr="00A85FEA" w:rsidRDefault="00F53AB1" w:rsidP="00D22861">
      <w:pPr>
        <w:jc w:val="both"/>
        <w:rPr>
          <w:rFonts w:eastAsia="Calibri" w:cs="Arial"/>
          <w:szCs w:val="22"/>
          <w:highlight w:val="cyan"/>
        </w:rPr>
      </w:pPr>
    </w:p>
    <w:p w14:paraId="12A78D80" w14:textId="77777777" w:rsidR="00F53AB1" w:rsidRPr="00A85FEA" w:rsidRDefault="00F53AB1" w:rsidP="00D22861">
      <w:pPr>
        <w:jc w:val="both"/>
        <w:rPr>
          <w:rFonts w:cs="Arial"/>
          <w:szCs w:val="22"/>
        </w:rPr>
      </w:pPr>
      <w:r w:rsidRPr="00A85FEA">
        <w:rPr>
          <w:rFonts w:cs="Arial"/>
          <w:szCs w:val="22"/>
        </w:rPr>
        <w:t xml:space="preserve">8.6. Indicios de deterioro del valor de los activos </w:t>
      </w:r>
    </w:p>
    <w:p w14:paraId="40EC2C96" w14:textId="77777777" w:rsidR="00F53AB1" w:rsidRPr="00A85FEA" w:rsidRDefault="00F53AB1" w:rsidP="00D22861">
      <w:pPr>
        <w:jc w:val="both"/>
        <w:rPr>
          <w:rFonts w:cs="Arial"/>
          <w:szCs w:val="22"/>
        </w:rPr>
      </w:pPr>
    </w:p>
    <w:p w14:paraId="3F773C1A" w14:textId="77777777" w:rsidR="00F53AB1" w:rsidRPr="00A85FEA" w:rsidRDefault="00F53AB1" w:rsidP="00D22861">
      <w:pPr>
        <w:jc w:val="both"/>
        <w:rPr>
          <w:rFonts w:cs="Arial"/>
          <w:szCs w:val="22"/>
        </w:rPr>
      </w:pPr>
      <w:r w:rsidRPr="00A85FEA">
        <w:rPr>
          <w:rFonts w:cs="Arial"/>
          <w:szCs w:val="22"/>
        </w:rPr>
        <w:t xml:space="preserve">Para determinar si hay indicios de deterioro del valor de un activo no generador de efectivo, la Corporación para el Desarrollo Sostenible del Norte y el Oriente Amazónico – CDA recurrirá, entre otras, a las siguientes fuentes externas e internas de información: </w:t>
      </w:r>
    </w:p>
    <w:p w14:paraId="5C498178" w14:textId="77777777" w:rsidR="00F53AB1" w:rsidRPr="00A85FEA" w:rsidRDefault="00F53AB1" w:rsidP="00D87929">
      <w:pPr>
        <w:rPr>
          <w:rFonts w:cs="Arial"/>
          <w:szCs w:val="22"/>
        </w:rPr>
      </w:pPr>
    </w:p>
    <w:p w14:paraId="0AF8B223" w14:textId="77777777" w:rsidR="00F53AB1" w:rsidRPr="00A85FEA" w:rsidRDefault="00F53AB1" w:rsidP="00D87929">
      <w:pPr>
        <w:rPr>
          <w:rFonts w:cs="Arial"/>
          <w:szCs w:val="22"/>
        </w:rPr>
      </w:pPr>
      <w:r w:rsidRPr="00A85FEA">
        <w:rPr>
          <w:rFonts w:cs="Arial"/>
          <w:szCs w:val="22"/>
        </w:rPr>
        <w:t>8.6.1. Fuentes externas de información</w:t>
      </w:r>
    </w:p>
    <w:p w14:paraId="01D69E84" w14:textId="77777777" w:rsidR="00F53AB1" w:rsidRPr="00A85FEA" w:rsidRDefault="00F53AB1" w:rsidP="00D87929">
      <w:pPr>
        <w:rPr>
          <w:rFonts w:cs="Arial"/>
          <w:szCs w:val="22"/>
        </w:rPr>
      </w:pPr>
    </w:p>
    <w:p w14:paraId="218BF177" w14:textId="77777777" w:rsidR="00F53AB1" w:rsidRPr="00A85FEA" w:rsidRDefault="00F53AB1" w:rsidP="00D22861">
      <w:pPr>
        <w:jc w:val="both"/>
        <w:rPr>
          <w:rFonts w:cs="Arial"/>
          <w:szCs w:val="22"/>
        </w:rPr>
      </w:pPr>
      <w:r w:rsidRPr="00A85FEA">
        <w:rPr>
          <w:rFonts w:cs="Arial"/>
          <w:szCs w:val="22"/>
        </w:rPr>
        <w:t xml:space="preserve">Durante el periodo, han tenido lugar, o van a tener lugar en un futuro inmediato, cambios significativos con una incidencia adversa sobre la entidad a largo plazo, los cuales están relacionados con el entorno legal, tecnológico o de política gubernamental, en los que opera la entidad. </w:t>
      </w:r>
    </w:p>
    <w:p w14:paraId="10BB2EF6" w14:textId="77777777" w:rsidR="00F53AB1" w:rsidRPr="00A85FEA" w:rsidRDefault="00F53AB1" w:rsidP="00D87929">
      <w:pPr>
        <w:rPr>
          <w:rFonts w:cs="Arial"/>
          <w:szCs w:val="22"/>
        </w:rPr>
      </w:pPr>
    </w:p>
    <w:p w14:paraId="78055DD8" w14:textId="77777777" w:rsidR="00F53AB1" w:rsidRPr="00A85FEA" w:rsidRDefault="00F53AB1" w:rsidP="00D22861">
      <w:pPr>
        <w:jc w:val="both"/>
        <w:rPr>
          <w:rFonts w:cs="Arial"/>
          <w:szCs w:val="22"/>
        </w:rPr>
      </w:pPr>
      <w:r w:rsidRPr="00A85FEA">
        <w:rPr>
          <w:rFonts w:cs="Arial"/>
          <w:szCs w:val="22"/>
        </w:rPr>
        <w:t xml:space="preserve">Durante el periodo, el valor de mercado del activo ha disminuido significativamente más que lo que se esperaría como consecuencia del paso del tiempo o de su uso normal. </w:t>
      </w:r>
    </w:p>
    <w:p w14:paraId="00EE1671" w14:textId="77777777" w:rsidR="00F53AB1" w:rsidRPr="00A85FEA" w:rsidRDefault="00F53AB1" w:rsidP="00D87929">
      <w:pPr>
        <w:rPr>
          <w:rFonts w:cs="Arial"/>
          <w:szCs w:val="22"/>
        </w:rPr>
      </w:pPr>
    </w:p>
    <w:p w14:paraId="48DFA0FA" w14:textId="77777777" w:rsidR="00F53AB1" w:rsidRPr="00A85FEA" w:rsidRDefault="00F53AB1" w:rsidP="00D87929">
      <w:pPr>
        <w:rPr>
          <w:rFonts w:cs="Arial"/>
          <w:szCs w:val="22"/>
        </w:rPr>
      </w:pPr>
      <w:r w:rsidRPr="00A85FEA">
        <w:rPr>
          <w:rFonts w:cs="Arial"/>
          <w:szCs w:val="22"/>
        </w:rPr>
        <w:t xml:space="preserve">8.6.2. Fuentes internas de información </w:t>
      </w:r>
    </w:p>
    <w:p w14:paraId="462F6BF1" w14:textId="77777777" w:rsidR="00F53AB1" w:rsidRPr="00A85FEA" w:rsidRDefault="00F53AB1" w:rsidP="00D87929">
      <w:pPr>
        <w:rPr>
          <w:rFonts w:cs="Arial"/>
          <w:szCs w:val="22"/>
        </w:rPr>
      </w:pPr>
    </w:p>
    <w:p w14:paraId="244CC8AE" w14:textId="77777777" w:rsidR="00F53AB1" w:rsidRPr="00A85FEA" w:rsidRDefault="00F53AB1" w:rsidP="00D22861">
      <w:pPr>
        <w:jc w:val="both"/>
        <w:rPr>
          <w:rFonts w:cs="Arial"/>
          <w:szCs w:val="22"/>
        </w:rPr>
      </w:pPr>
      <w:r w:rsidRPr="00A85FEA">
        <w:rPr>
          <w:rFonts w:cs="Arial"/>
          <w:szCs w:val="22"/>
        </w:rPr>
        <w:t xml:space="preserve">Se dispone de evidencia sobre la obsolescencia o deterioro físico del activo. </w:t>
      </w:r>
    </w:p>
    <w:p w14:paraId="30BB83AB" w14:textId="77777777" w:rsidR="00F53AB1" w:rsidRPr="00A85FEA" w:rsidRDefault="00F53AB1" w:rsidP="00D22861">
      <w:pPr>
        <w:jc w:val="both"/>
        <w:rPr>
          <w:rFonts w:cs="Arial"/>
          <w:szCs w:val="22"/>
        </w:rPr>
      </w:pPr>
      <w:r w:rsidRPr="00A85FEA">
        <w:rPr>
          <w:rFonts w:cs="Arial"/>
          <w:szCs w:val="22"/>
        </w:rPr>
        <w:t>Durante el periodo, han tenido lugar, o se espera que tengan lugar en un futuro inmediato, cambios significativos en el grado de utilización o la manera como se usa o se espera usar el activo, los cuales afectarán desfavorablemente la entidad a largo plazo. Estos cambios incluyen el hecho de que el activo esté ocioso, los planes de discontinuación o restructuración de la operación a la que pertenece el activo, los planes para disponer el activo antes de la fecha prevista.</w:t>
      </w:r>
    </w:p>
    <w:p w14:paraId="24B70366" w14:textId="77777777" w:rsidR="00F53AB1" w:rsidRPr="00A85FEA" w:rsidRDefault="00F53AB1" w:rsidP="00D22861">
      <w:pPr>
        <w:jc w:val="both"/>
        <w:rPr>
          <w:rFonts w:cs="Arial"/>
          <w:szCs w:val="22"/>
        </w:rPr>
      </w:pPr>
      <w:r w:rsidRPr="00A85FEA">
        <w:rPr>
          <w:rFonts w:cs="Arial"/>
          <w:szCs w:val="22"/>
        </w:rPr>
        <w:t xml:space="preserve">Se decide detener la construcción del activo antes de su finalización o de su puesta en condiciones de funcionamiento, salvo que exista evidencia objetiva de que se reanudará la construcción en el futuro próximo. </w:t>
      </w:r>
    </w:p>
    <w:p w14:paraId="1C0A3673" w14:textId="77777777" w:rsidR="00F53AB1" w:rsidRPr="00A85FEA" w:rsidRDefault="00F53AB1" w:rsidP="00D22861">
      <w:pPr>
        <w:jc w:val="both"/>
        <w:rPr>
          <w:rFonts w:cs="Arial"/>
          <w:szCs w:val="22"/>
        </w:rPr>
      </w:pPr>
      <w:r w:rsidRPr="00A85FEA">
        <w:rPr>
          <w:rFonts w:cs="Arial"/>
          <w:szCs w:val="22"/>
        </w:rPr>
        <w:lastRenderedPageBreak/>
        <w:t xml:space="preserve">Se dispone de evidencia procedente de informes internos que indican que la capacidad del activo para suministrar bienes o servicios, ha disminuido o va a ser inferior a la esperada. </w:t>
      </w:r>
    </w:p>
    <w:p w14:paraId="4ED79DD0" w14:textId="77777777" w:rsidR="00F53AB1" w:rsidRPr="00A85FEA" w:rsidRDefault="00F53AB1" w:rsidP="00D22861">
      <w:pPr>
        <w:jc w:val="both"/>
        <w:rPr>
          <w:rFonts w:cs="Arial"/>
          <w:szCs w:val="22"/>
        </w:rPr>
      </w:pPr>
    </w:p>
    <w:p w14:paraId="40CE0BB4" w14:textId="77777777" w:rsidR="00F53AB1" w:rsidRPr="00A85FEA" w:rsidRDefault="00F53AB1" w:rsidP="00D22861">
      <w:pPr>
        <w:jc w:val="both"/>
        <w:rPr>
          <w:rFonts w:cs="Arial"/>
          <w:szCs w:val="22"/>
        </w:rPr>
      </w:pPr>
      <w:r w:rsidRPr="00A85FEA">
        <w:rPr>
          <w:rFonts w:cs="Arial"/>
          <w:szCs w:val="22"/>
        </w:rPr>
        <w:t xml:space="preserve">Si existe algún indicio de que el activo está deteriorado, se verificará si existe pérdida por deterioro. En algunos casos podrá ser necesario revisar y ajustar la vida útil restante, el método de depreciación del activo, incluso si finalmente no se reconociera ningún deterioro del valor para el activo considerado. </w:t>
      </w:r>
    </w:p>
    <w:p w14:paraId="3BA3DBBF" w14:textId="77777777" w:rsidR="00F53AB1" w:rsidRPr="00A85FEA" w:rsidRDefault="00F53AB1" w:rsidP="00D87929">
      <w:pPr>
        <w:rPr>
          <w:rFonts w:cs="Arial"/>
          <w:i/>
          <w:szCs w:val="22"/>
        </w:rPr>
      </w:pPr>
    </w:p>
    <w:p w14:paraId="183202AF" w14:textId="77777777" w:rsidR="00F53AB1" w:rsidRPr="00A85FEA" w:rsidRDefault="00F53AB1" w:rsidP="00D22861">
      <w:pPr>
        <w:jc w:val="both"/>
        <w:rPr>
          <w:rFonts w:cs="Arial"/>
          <w:i/>
          <w:szCs w:val="22"/>
        </w:rPr>
      </w:pPr>
      <w:r w:rsidRPr="00A85FEA">
        <w:rPr>
          <w:rFonts w:eastAsia="Calibri" w:cs="Arial"/>
          <w:i/>
          <w:szCs w:val="22"/>
        </w:rPr>
        <w:t xml:space="preserve">La Corporación para el Desarrollo Sostenible del Norte y el Oriente Amazónico – CDA define como política que las evidencias sobre obsolescencia, deterioro físico del activo, activos ociosos, disminución de la </w:t>
      </w:r>
      <w:r w:rsidRPr="00A85FEA">
        <w:rPr>
          <w:rFonts w:cs="Arial"/>
          <w:i/>
          <w:szCs w:val="22"/>
        </w:rPr>
        <w:t>capacidad del activo para suministrar bienes o servicios o va a ser inferior a la esperada;</w:t>
      </w:r>
      <w:r w:rsidRPr="00A85FEA">
        <w:rPr>
          <w:rFonts w:eastAsia="Calibri" w:cs="Arial"/>
          <w:i/>
          <w:szCs w:val="22"/>
        </w:rPr>
        <w:t xml:space="preserve"> lo puede indicar el funcionario que tenga a cargo el elemento, mediante el formato definidos en los procedimientos.</w:t>
      </w:r>
    </w:p>
    <w:p w14:paraId="519DB450" w14:textId="77777777" w:rsidR="00F53AB1" w:rsidRPr="00A85FEA" w:rsidRDefault="00F53AB1" w:rsidP="00D87929">
      <w:pPr>
        <w:rPr>
          <w:rFonts w:cs="Arial"/>
          <w:szCs w:val="22"/>
        </w:rPr>
      </w:pPr>
    </w:p>
    <w:p w14:paraId="2A1B3881" w14:textId="77777777" w:rsidR="00F53AB1" w:rsidRPr="00A85FEA" w:rsidRDefault="00F53AB1" w:rsidP="00D87929">
      <w:pPr>
        <w:rPr>
          <w:rFonts w:cs="Arial"/>
          <w:szCs w:val="22"/>
        </w:rPr>
      </w:pPr>
      <w:r w:rsidRPr="00A85FEA">
        <w:rPr>
          <w:rFonts w:cs="Arial"/>
          <w:szCs w:val="22"/>
        </w:rPr>
        <w:t xml:space="preserve">8.7. Reconocimiento del deterioro del valor </w:t>
      </w:r>
    </w:p>
    <w:p w14:paraId="715385BA" w14:textId="77777777" w:rsidR="00F53AB1" w:rsidRPr="00A85FEA" w:rsidRDefault="00F53AB1" w:rsidP="00D87929">
      <w:pPr>
        <w:rPr>
          <w:rFonts w:cs="Arial"/>
          <w:szCs w:val="22"/>
        </w:rPr>
      </w:pPr>
    </w:p>
    <w:p w14:paraId="2C3E1ABF" w14:textId="77777777" w:rsidR="00F53AB1" w:rsidRPr="00A85FEA" w:rsidRDefault="00F53AB1" w:rsidP="00D22861">
      <w:pPr>
        <w:jc w:val="both"/>
        <w:rPr>
          <w:rFonts w:cs="Arial"/>
          <w:szCs w:val="22"/>
        </w:rPr>
      </w:pPr>
      <w:r w:rsidRPr="00A85FEA">
        <w:rPr>
          <w:rFonts w:cs="Arial"/>
          <w:szCs w:val="22"/>
        </w:rPr>
        <w:t>La Corporación para el Desarrollo Sostenible del Norte y el Oriente Amazónico – CDA reconocerá una pérdida por deterioro del valor de un activo no generador de efectivo cuando su valor en libros supere el valor del servicio recuperable. El valor del servicio recuperable es el mayor entre a) el valor de mercado, si existiere, menos los costos de disposición y b) el costo de reposición.</w:t>
      </w:r>
    </w:p>
    <w:p w14:paraId="6594D3B2" w14:textId="77777777" w:rsidR="00F53AB1" w:rsidRPr="00A85FEA" w:rsidRDefault="00F53AB1" w:rsidP="00D22861">
      <w:pPr>
        <w:jc w:val="both"/>
        <w:rPr>
          <w:rFonts w:cs="Arial"/>
          <w:szCs w:val="22"/>
        </w:rPr>
      </w:pPr>
    </w:p>
    <w:p w14:paraId="198A4A5A" w14:textId="77777777" w:rsidR="00F53AB1" w:rsidRPr="00A85FEA" w:rsidRDefault="00F53AB1" w:rsidP="00D22861">
      <w:pPr>
        <w:jc w:val="both"/>
        <w:rPr>
          <w:rFonts w:cs="Arial"/>
          <w:szCs w:val="22"/>
        </w:rPr>
      </w:pPr>
      <w:r w:rsidRPr="00A85FEA">
        <w:rPr>
          <w:rFonts w:cs="Arial"/>
          <w:szCs w:val="22"/>
        </w:rPr>
        <w:t xml:space="preserve">La pérdida por deterioro se reconocerá como una disminución del valor en libros del activo y un gasto en el resultado del periodo. </w:t>
      </w:r>
    </w:p>
    <w:p w14:paraId="69532DBE" w14:textId="77777777" w:rsidR="00F53AB1" w:rsidRPr="00A85FEA" w:rsidRDefault="00F53AB1" w:rsidP="00D22861">
      <w:pPr>
        <w:jc w:val="both"/>
        <w:rPr>
          <w:rFonts w:cs="Arial"/>
          <w:szCs w:val="22"/>
        </w:rPr>
      </w:pPr>
    </w:p>
    <w:p w14:paraId="370EC411" w14:textId="77777777" w:rsidR="00F53AB1" w:rsidRPr="00A85FEA" w:rsidRDefault="00F53AB1" w:rsidP="00D22861">
      <w:pPr>
        <w:jc w:val="both"/>
        <w:rPr>
          <w:rFonts w:cs="Arial"/>
          <w:szCs w:val="22"/>
          <w:highlight w:val="cyan"/>
          <w:lang w:eastAsia="es-CO"/>
        </w:rPr>
      </w:pPr>
      <w:r w:rsidRPr="00A85FEA">
        <w:rPr>
          <w:rFonts w:cs="Arial"/>
          <w:szCs w:val="22"/>
        </w:rPr>
        <w:t>Luego de reconocer una pérdida por deterioro del valor, los cargos por depreciación o amortización del activo se determinarán, para los periodos futuros, teniendo en cuenta el valor en libros ajustado por dicha pérdida. Esto permitirá distribuir el valor en libros ajustado del activo, menos su eventual valor residual, de una forma sistemática a lo largo de su vida útil restante.</w:t>
      </w:r>
    </w:p>
    <w:p w14:paraId="4C84852F" w14:textId="77777777" w:rsidR="00F53AB1" w:rsidRPr="00A85FEA" w:rsidRDefault="00F53AB1" w:rsidP="00D87929">
      <w:pPr>
        <w:rPr>
          <w:rFonts w:cs="Arial"/>
          <w:szCs w:val="22"/>
          <w:highlight w:val="cyan"/>
          <w:lang w:eastAsia="es-CO"/>
        </w:rPr>
      </w:pPr>
    </w:p>
    <w:p w14:paraId="12F64115" w14:textId="77777777" w:rsidR="00F53AB1" w:rsidRPr="00A85FEA" w:rsidRDefault="00F53AB1" w:rsidP="00D87929">
      <w:pPr>
        <w:rPr>
          <w:rFonts w:cs="Arial"/>
          <w:szCs w:val="22"/>
          <w:lang w:eastAsia="es-CO"/>
        </w:rPr>
      </w:pPr>
      <w:r w:rsidRPr="00A85FEA">
        <w:rPr>
          <w:rFonts w:cs="Arial"/>
          <w:szCs w:val="22"/>
          <w:lang w:eastAsia="es-CO"/>
        </w:rPr>
        <w:t xml:space="preserve">8.8. Medición </w:t>
      </w:r>
      <w:r w:rsidRPr="00A85FEA">
        <w:rPr>
          <w:rFonts w:cs="Arial"/>
          <w:szCs w:val="22"/>
        </w:rPr>
        <w:t>del valor del servicio recuperable</w:t>
      </w:r>
    </w:p>
    <w:p w14:paraId="0C2B706A" w14:textId="77777777" w:rsidR="00F53AB1" w:rsidRPr="00A85FEA" w:rsidRDefault="00F53AB1" w:rsidP="00D87929">
      <w:pPr>
        <w:rPr>
          <w:rFonts w:cs="Arial"/>
          <w:szCs w:val="22"/>
        </w:rPr>
      </w:pPr>
    </w:p>
    <w:p w14:paraId="7984454E" w14:textId="77777777" w:rsidR="00F53AB1" w:rsidRPr="00A85FEA" w:rsidRDefault="00F53AB1" w:rsidP="00D22861">
      <w:pPr>
        <w:jc w:val="both"/>
        <w:rPr>
          <w:rFonts w:cs="Arial"/>
          <w:szCs w:val="22"/>
        </w:rPr>
      </w:pPr>
      <w:r w:rsidRPr="00A85FEA">
        <w:rPr>
          <w:rFonts w:cs="Arial"/>
          <w:szCs w:val="22"/>
        </w:rPr>
        <w:t xml:space="preserve">Para comprobar el deterioro del valor del activo, la Corporación para el Desarrollo Sostenible del Norte y el Oriente Amazónico – CDA estimará el valor del servicio recuperable, el cual corresponde al mayor valor entre a) el valor de mercado, si existiere, menos los costos de disposición y b) el costo de reposición. </w:t>
      </w:r>
    </w:p>
    <w:p w14:paraId="6263C762" w14:textId="77777777" w:rsidR="00F53AB1" w:rsidRPr="00A85FEA" w:rsidRDefault="00F53AB1" w:rsidP="00D87929">
      <w:pPr>
        <w:rPr>
          <w:rFonts w:cs="Arial"/>
          <w:szCs w:val="22"/>
        </w:rPr>
      </w:pPr>
    </w:p>
    <w:p w14:paraId="28E4D2CB" w14:textId="77777777" w:rsidR="00F53AB1" w:rsidRPr="00A85FEA" w:rsidRDefault="00F53AB1" w:rsidP="00D22861">
      <w:pPr>
        <w:jc w:val="both"/>
        <w:rPr>
          <w:rFonts w:cs="Arial"/>
          <w:szCs w:val="22"/>
        </w:rPr>
      </w:pPr>
      <w:r w:rsidRPr="00A85FEA">
        <w:rPr>
          <w:rFonts w:cs="Arial"/>
          <w:szCs w:val="22"/>
        </w:rPr>
        <w:t xml:space="preserve">No siempre será necesario determinar el valor de mercado del activo menos los costos de disposición y el costo de reposición. Si cualquiera de esos valores excede el valor en libros del activo, no habrá deterioro del valor y no será necesario estimar el otro valor. </w:t>
      </w:r>
    </w:p>
    <w:p w14:paraId="6D778791" w14:textId="77777777" w:rsidR="00F53AB1" w:rsidRPr="00A85FEA" w:rsidRDefault="00F53AB1" w:rsidP="00D22861">
      <w:pPr>
        <w:jc w:val="both"/>
        <w:rPr>
          <w:rFonts w:cs="Arial"/>
          <w:szCs w:val="22"/>
        </w:rPr>
      </w:pPr>
    </w:p>
    <w:p w14:paraId="1D98AD01" w14:textId="77777777" w:rsidR="00F53AB1" w:rsidRPr="00A85FEA" w:rsidRDefault="00F53AB1" w:rsidP="00D22861">
      <w:pPr>
        <w:jc w:val="both"/>
        <w:rPr>
          <w:rFonts w:cs="Arial"/>
          <w:szCs w:val="22"/>
        </w:rPr>
      </w:pPr>
      <w:r w:rsidRPr="00A85FEA">
        <w:rPr>
          <w:rFonts w:cs="Arial"/>
          <w:szCs w:val="22"/>
        </w:rPr>
        <w:lastRenderedPageBreak/>
        <w:t xml:space="preserve">Si no es factible medir el valor de mercado del activo menos los costos de disposición, la entidad utilizará el costo de reposición como el valor del servicio recuperable. </w:t>
      </w:r>
    </w:p>
    <w:p w14:paraId="0531C56D" w14:textId="77777777" w:rsidR="00F53AB1" w:rsidRPr="00A85FEA" w:rsidRDefault="00F53AB1" w:rsidP="00D22861">
      <w:pPr>
        <w:jc w:val="both"/>
        <w:rPr>
          <w:rFonts w:cs="Arial"/>
          <w:szCs w:val="22"/>
        </w:rPr>
      </w:pPr>
    </w:p>
    <w:p w14:paraId="616F93B4" w14:textId="77777777" w:rsidR="00F53AB1" w:rsidRPr="00A85FEA" w:rsidRDefault="00F53AB1" w:rsidP="00D87929">
      <w:pPr>
        <w:rPr>
          <w:rFonts w:cs="Arial"/>
          <w:szCs w:val="22"/>
        </w:rPr>
      </w:pPr>
      <w:r w:rsidRPr="00A85FEA">
        <w:rPr>
          <w:rFonts w:cs="Arial"/>
          <w:szCs w:val="22"/>
        </w:rPr>
        <w:t xml:space="preserve">8.8.1. Valor de mercado menos los costos de disposición </w:t>
      </w:r>
    </w:p>
    <w:p w14:paraId="10824792" w14:textId="77777777" w:rsidR="00F53AB1" w:rsidRPr="00A85FEA" w:rsidRDefault="00F53AB1" w:rsidP="00D87929">
      <w:pPr>
        <w:rPr>
          <w:rFonts w:cs="Arial"/>
          <w:szCs w:val="22"/>
        </w:rPr>
      </w:pPr>
    </w:p>
    <w:p w14:paraId="71006415" w14:textId="77777777" w:rsidR="00F53AB1" w:rsidRPr="00A85FEA" w:rsidRDefault="00F53AB1" w:rsidP="00D22861">
      <w:pPr>
        <w:jc w:val="both"/>
        <w:rPr>
          <w:rFonts w:cs="Arial"/>
          <w:szCs w:val="22"/>
        </w:rPr>
      </w:pPr>
      <w:r w:rsidRPr="00A85FEA">
        <w:rPr>
          <w:rFonts w:cs="Arial"/>
          <w:szCs w:val="22"/>
        </w:rPr>
        <w:t xml:space="preserve">El valor de mercado, si existiere, se determinará conforme a lo definido en el Marco Conceptual para esta base de medición. Los costos de disposición, diferentes de aquellos reconocidos como pasivos, se deducirán del valor de mercado. Estos costos incluyen entre otros, costos de carácter legal, timbres y otros impuestos de la transacción similares, los costos de desmontaje o desplazamiento del activo, así como todos los demás costos incrementales para dejar el activo en condiciones para la venta. No son costos incrementales directamente relacionados y atribuibles a la disposición del activo, los beneficios por terminación del vínculo laboral o contractual y otros costos asociados con la reducción del tamaño o la reorganización de un negocio que implique la venta o disposición, por otra vía, de un activo. </w:t>
      </w:r>
    </w:p>
    <w:p w14:paraId="370C74BD" w14:textId="77777777" w:rsidR="00F53AB1" w:rsidRPr="00A85FEA" w:rsidRDefault="00F53AB1" w:rsidP="00D87929">
      <w:pPr>
        <w:rPr>
          <w:rFonts w:cs="Arial"/>
          <w:szCs w:val="22"/>
        </w:rPr>
      </w:pPr>
    </w:p>
    <w:p w14:paraId="73E73AEB" w14:textId="77777777" w:rsidR="00F53AB1" w:rsidRPr="00A85FEA" w:rsidRDefault="00F53AB1" w:rsidP="00D87929">
      <w:pPr>
        <w:rPr>
          <w:rFonts w:cs="Arial"/>
          <w:szCs w:val="22"/>
        </w:rPr>
      </w:pPr>
      <w:r w:rsidRPr="00A85FEA">
        <w:rPr>
          <w:rFonts w:cs="Arial"/>
          <w:szCs w:val="22"/>
        </w:rPr>
        <w:t xml:space="preserve">8.8.2. Costo de reposición </w:t>
      </w:r>
    </w:p>
    <w:p w14:paraId="08CC356C" w14:textId="77777777" w:rsidR="00F53AB1" w:rsidRPr="00A85FEA" w:rsidRDefault="00F53AB1" w:rsidP="00D87929">
      <w:pPr>
        <w:rPr>
          <w:rFonts w:cs="Arial"/>
          <w:szCs w:val="22"/>
        </w:rPr>
      </w:pPr>
    </w:p>
    <w:p w14:paraId="1D2A2104" w14:textId="77777777" w:rsidR="00F53AB1" w:rsidRPr="00A85FEA" w:rsidRDefault="00F53AB1" w:rsidP="00D22861">
      <w:pPr>
        <w:jc w:val="both"/>
        <w:rPr>
          <w:rFonts w:cs="Arial"/>
          <w:szCs w:val="22"/>
        </w:rPr>
      </w:pPr>
      <w:r w:rsidRPr="00A85FEA">
        <w:rPr>
          <w:rFonts w:cs="Arial"/>
          <w:szCs w:val="22"/>
        </w:rPr>
        <w:t>El costo de reposición para un activo no generador de efectivo, está determinado por el costo en el que la entidad incurriría en una fecha determinada para reponer la capacidad operativa del activo existente. La entidad podrá emplear los enfoques que se exponen en los siguientes numerales a efecto de estimar el costo de reposición.</w:t>
      </w:r>
    </w:p>
    <w:p w14:paraId="74415371" w14:textId="77777777" w:rsidR="00F53AB1" w:rsidRPr="00A85FEA" w:rsidRDefault="00F53AB1" w:rsidP="00D87929">
      <w:pPr>
        <w:rPr>
          <w:rFonts w:cs="Arial"/>
          <w:szCs w:val="22"/>
        </w:rPr>
      </w:pPr>
    </w:p>
    <w:p w14:paraId="092B10B6" w14:textId="77777777" w:rsidR="00F53AB1" w:rsidRPr="00A85FEA" w:rsidRDefault="00F53AB1" w:rsidP="00D87929">
      <w:pPr>
        <w:rPr>
          <w:rFonts w:cs="Arial"/>
          <w:szCs w:val="22"/>
        </w:rPr>
      </w:pPr>
      <w:r w:rsidRPr="00A85FEA">
        <w:rPr>
          <w:rFonts w:cs="Arial"/>
          <w:szCs w:val="22"/>
        </w:rPr>
        <w:t xml:space="preserve">8.8.2.1 Costo de reposición a nuevo ajustado por depreciación </w:t>
      </w:r>
    </w:p>
    <w:p w14:paraId="542CD6EE" w14:textId="77777777" w:rsidR="00F53AB1" w:rsidRPr="00A85FEA" w:rsidRDefault="00F53AB1" w:rsidP="00D87929">
      <w:pPr>
        <w:rPr>
          <w:rFonts w:cs="Arial"/>
          <w:szCs w:val="22"/>
        </w:rPr>
      </w:pPr>
    </w:p>
    <w:p w14:paraId="573E46DF" w14:textId="77777777" w:rsidR="00F53AB1" w:rsidRPr="00A85FEA" w:rsidRDefault="00F53AB1" w:rsidP="00D22861">
      <w:pPr>
        <w:jc w:val="both"/>
        <w:rPr>
          <w:rFonts w:cs="Arial"/>
          <w:szCs w:val="22"/>
        </w:rPr>
      </w:pPr>
      <w:r w:rsidRPr="00A85FEA">
        <w:rPr>
          <w:rFonts w:cs="Arial"/>
          <w:szCs w:val="22"/>
        </w:rPr>
        <w:t xml:space="preserve">La Corporación para el Desarrollo Sostenible del Norte y el Oriente Amazónico – CDA podrá estimar el costo de reposición teniendo en cuenta los recursos que tendría que sacrificar para reponer el potencial de servicio bruto de un activo (bien sea a través de la reproducción del activo, o bien de la sustitución por uno que tenga el mismo potencial de servicio); este costo se ajustará por la depreciación de acuerdo con la vida útil consumida del activo que es objeto de cálculo de deterioro. </w:t>
      </w:r>
    </w:p>
    <w:p w14:paraId="0B31ADC2" w14:textId="77777777" w:rsidR="00F53AB1" w:rsidRPr="00A85FEA" w:rsidRDefault="00F53AB1" w:rsidP="00D87929">
      <w:pPr>
        <w:rPr>
          <w:rFonts w:cs="Arial"/>
          <w:szCs w:val="22"/>
        </w:rPr>
      </w:pPr>
    </w:p>
    <w:p w14:paraId="0BE3AFAA" w14:textId="77777777" w:rsidR="00F53AB1" w:rsidRPr="00A85FEA" w:rsidRDefault="00F53AB1" w:rsidP="00D22861">
      <w:pPr>
        <w:jc w:val="both"/>
        <w:rPr>
          <w:rFonts w:cs="Arial"/>
          <w:szCs w:val="22"/>
        </w:rPr>
      </w:pPr>
      <w:r w:rsidRPr="00A85FEA">
        <w:rPr>
          <w:rFonts w:cs="Arial"/>
          <w:szCs w:val="22"/>
        </w:rPr>
        <w:t xml:space="preserve">Este enfoque se privilegia cuando el deterioro del valor se origina por cambios significativos en el entorno tecnológico, legal o político, así como por cambios en el grado de utilización o en el uso del activo. </w:t>
      </w:r>
    </w:p>
    <w:p w14:paraId="38D6CB79" w14:textId="77777777" w:rsidR="00F53AB1" w:rsidRPr="00A85FEA" w:rsidRDefault="00F53AB1" w:rsidP="00D22861">
      <w:pPr>
        <w:jc w:val="both"/>
        <w:rPr>
          <w:rFonts w:cs="Arial"/>
          <w:szCs w:val="22"/>
        </w:rPr>
      </w:pPr>
    </w:p>
    <w:p w14:paraId="2348BC12" w14:textId="77777777" w:rsidR="00F53AB1" w:rsidRPr="00A85FEA" w:rsidRDefault="00F53AB1" w:rsidP="00D87929">
      <w:pPr>
        <w:rPr>
          <w:rFonts w:cs="Arial"/>
          <w:szCs w:val="22"/>
        </w:rPr>
      </w:pPr>
      <w:r w:rsidRPr="00A85FEA">
        <w:rPr>
          <w:rFonts w:cs="Arial"/>
          <w:szCs w:val="22"/>
        </w:rPr>
        <w:t xml:space="preserve">8.8.2.2 Costo de reposición a nuevo ajustado por depreciación y rehabilitación </w:t>
      </w:r>
    </w:p>
    <w:p w14:paraId="3863D395" w14:textId="77777777" w:rsidR="00F53AB1" w:rsidRPr="00A85FEA" w:rsidRDefault="00F53AB1" w:rsidP="00D87929">
      <w:pPr>
        <w:rPr>
          <w:rFonts w:cs="Arial"/>
          <w:szCs w:val="22"/>
        </w:rPr>
      </w:pPr>
    </w:p>
    <w:p w14:paraId="68B8DB2F" w14:textId="77777777" w:rsidR="00F53AB1" w:rsidRPr="00A85FEA" w:rsidRDefault="00F53AB1" w:rsidP="00722DA2">
      <w:pPr>
        <w:jc w:val="both"/>
        <w:rPr>
          <w:rFonts w:cs="Arial"/>
          <w:szCs w:val="22"/>
        </w:rPr>
      </w:pPr>
      <w:r w:rsidRPr="00A85FEA">
        <w:rPr>
          <w:rFonts w:cs="Arial"/>
          <w:szCs w:val="22"/>
        </w:rPr>
        <w:t xml:space="preserve">La Corporación para el Desarrollo Sostenible del Norte y el Oriente Amazónico – CDA podrá estimar el costo de reposición teniendo en cuenta los recursos que tendría que sacrificar para reponer el potencial de servicio bruto de un activo (bien sea a través de la reproducción del activo o de la sustitución de este por uno que tenga el mismo potencial de servicio); este costo se ajustará por la depreciación de acuerdo con la vida útil ya </w:t>
      </w:r>
      <w:r w:rsidRPr="00A85FEA">
        <w:rPr>
          <w:rFonts w:cs="Arial"/>
          <w:szCs w:val="22"/>
        </w:rPr>
        <w:lastRenderedPageBreak/>
        <w:t xml:space="preserve">consumida del activo que es objeto de cálculo de deterioro y por el costo en que incurriría para devolver el potencial de servicio que se perdió por el daño físico del activo. </w:t>
      </w:r>
    </w:p>
    <w:p w14:paraId="16BD9509" w14:textId="77777777" w:rsidR="00F53AB1" w:rsidRPr="00A85FEA" w:rsidRDefault="00F53AB1" w:rsidP="00722DA2">
      <w:pPr>
        <w:jc w:val="both"/>
        <w:rPr>
          <w:rFonts w:cs="Arial"/>
          <w:szCs w:val="22"/>
        </w:rPr>
      </w:pPr>
    </w:p>
    <w:p w14:paraId="020B3086" w14:textId="77777777" w:rsidR="00F53AB1" w:rsidRPr="00A85FEA" w:rsidRDefault="00F53AB1" w:rsidP="000D4956">
      <w:pPr>
        <w:jc w:val="both"/>
        <w:rPr>
          <w:rFonts w:cs="Arial"/>
          <w:szCs w:val="22"/>
        </w:rPr>
      </w:pPr>
      <w:r w:rsidRPr="00A85FEA">
        <w:rPr>
          <w:rFonts w:cs="Arial"/>
          <w:szCs w:val="22"/>
        </w:rPr>
        <w:t xml:space="preserve">Este enfoque se privilegia cuando el deterioro del valor se origina por un daño físico del activo. </w:t>
      </w:r>
    </w:p>
    <w:p w14:paraId="02512547" w14:textId="77777777" w:rsidR="00F53AB1" w:rsidRPr="00635268" w:rsidRDefault="00F53AB1" w:rsidP="00635268">
      <w:pPr>
        <w:pStyle w:val="Ttulo1"/>
        <w:rPr>
          <w:rFonts w:ascii="Arial" w:hAnsi="Arial" w:cs="Arial"/>
          <w:color w:val="auto"/>
          <w:sz w:val="22"/>
          <w:szCs w:val="22"/>
        </w:rPr>
      </w:pPr>
      <w:bookmarkStart w:id="140" w:name="_Toc525721436"/>
      <w:r w:rsidRPr="00635268">
        <w:rPr>
          <w:rFonts w:ascii="Arial" w:hAnsi="Arial" w:cs="Arial"/>
          <w:color w:val="auto"/>
          <w:sz w:val="22"/>
          <w:szCs w:val="22"/>
        </w:rPr>
        <w:t>8.9. Reversión de las pérdidas por deterioro del valor</w:t>
      </w:r>
      <w:bookmarkEnd w:id="140"/>
    </w:p>
    <w:p w14:paraId="7E0FC8CB" w14:textId="77777777" w:rsidR="00F53AB1" w:rsidRPr="00A85FEA" w:rsidRDefault="00F53AB1" w:rsidP="00D87929">
      <w:pPr>
        <w:rPr>
          <w:rFonts w:cs="Arial"/>
          <w:szCs w:val="22"/>
        </w:rPr>
      </w:pPr>
    </w:p>
    <w:p w14:paraId="3E9706D5" w14:textId="77777777" w:rsidR="00F53AB1" w:rsidRPr="00A85FEA" w:rsidRDefault="00F53AB1" w:rsidP="000D4956">
      <w:pPr>
        <w:jc w:val="both"/>
        <w:rPr>
          <w:rFonts w:cs="Arial"/>
          <w:szCs w:val="22"/>
        </w:rPr>
      </w:pPr>
      <w:r w:rsidRPr="00A85FEA">
        <w:rPr>
          <w:rFonts w:cs="Arial"/>
          <w:szCs w:val="22"/>
        </w:rPr>
        <w:t xml:space="preserve">La Corporación para el Desarrollo Sostenible del Norte y el Oriente Amazónico – CDA evaluará, al final del periodo contable, si existe algún indicio de que la pérdida por deterioro del valor reconocida en periodos anteriores ya no existe o podría haber disminuido. Si existe tal indicio, la entidad estimará nuevamente el valor del servicio recuperable del activo. </w:t>
      </w:r>
    </w:p>
    <w:p w14:paraId="42EDEBBA" w14:textId="77777777" w:rsidR="00F53AB1" w:rsidRPr="00A85FEA" w:rsidRDefault="00F53AB1" w:rsidP="00D87929">
      <w:pPr>
        <w:rPr>
          <w:rFonts w:cs="Arial"/>
          <w:szCs w:val="22"/>
        </w:rPr>
      </w:pPr>
    </w:p>
    <w:p w14:paraId="3C7909F3" w14:textId="77777777" w:rsidR="00F53AB1" w:rsidRPr="00A85FEA" w:rsidRDefault="00F53AB1" w:rsidP="00D87929">
      <w:pPr>
        <w:rPr>
          <w:rFonts w:cs="Arial"/>
          <w:szCs w:val="22"/>
        </w:rPr>
      </w:pPr>
      <w:r w:rsidRPr="00A85FEA">
        <w:rPr>
          <w:rFonts w:cs="Arial"/>
          <w:szCs w:val="22"/>
        </w:rPr>
        <w:t xml:space="preserve">8.9.1. Indicios de reversión de las pérdidas por deterioro del valor </w:t>
      </w:r>
    </w:p>
    <w:p w14:paraId="0A7F7EC8" w14:textId="77777777" w:rsidR="00F53AB1" w:rsidRPr="00A85FEA" w:rsidRDefault="00F53AB1" w:rsidP="00D87929">
      <w:pPr>
        <w:rPr>
          <w:rFonts w:cs="Arial"/>
          <w:szCs w:val="22"/>
        </w:rPr>
      </w:pPr>
    </w:p>
    <w:p w14:paraId="582F676B" w14:textId="77777777" w:rsidR="00F53AB1" w:rsidRPr="00A85FEA" w:rsidRDefault="00F53AB1" w:rsidP="000D4956">
      <w:pPr>
        <w:jc w:val="both"/>
        <w:rPr>
          <w:rFonts w:cs="Arial"/>
          <w:szCs w:val="22"/>
        </w:rPr>
      </w:pPr>
      <w:r w:rsidRPr="00A85FEA">
        <w:rPr>
          <w:rFonts w:cs="Arial"/>
          <w:szCs w:val="22"/>
        </w:rPr>
        <w:t xml:space="preserve">Cuando la Corporación para el Desarrollo Sostenible del Norte y el Oriente Amazónico – CDA evalúe si existen indicios de que la pérdida por deterioro del valor reconocida en periodos anteriores ya no existe o podría haber disminuido, considerará, entre otras, las siguientes fuentes externas e internas de información: </w:t>
      </w:r>
    </w:p>
    <w:p w14:paraId="2D9F4685" w14:textId="77777777" w:rsidR="00F53AB1" w:rsidRPr="00A85FEA" w:rsidRDefault="00F53AB1" w:rsidP="000D4956">
      <w:pPr>
        <w:jc w:val="both"/>
        <w:rPr>
          <w:rFonts w:cs="Arial"/>
          <w:szCs w:val="22"/>
        </w:rPr>
      </w:pPr>
    </w:p>
    <w:p w14:paraId="52611D34" w14:textId="77777777" w:rsidR="00F53AB1" w:rsidRPr="00A85FEA" w:rsidRDefault="00F53AB1" w:rsidP="000D4956">
      <w:pPr>
        <w:jc w:val="both"/>
        <w:rPr>
          <w:rFonts w:cs="Arial"/>
          <w:szCs w:val="22"/>
        </w:rPr>
      </w:pPr>
    </w:p>
    <w:p w14:paraId="72AA3944" w14:textId="77777777" w:rsidR="00F53AB1" w:rsidRPr="00A85FEA" w:rsidRDefault="00F53AB1" w:rsidP="000D4956">
      <w:pPr>
        <w:jc w:val="both"/>
        <w:rPr>
          <w:rFonts w:cs="Arial"/>
          <w:szCs w:val="22"/>
        </w:rPr>
      </w:pPr>
      <w:r w:rsidRPr="00A85FEA">
        <w:rPr>
          <w:rFonts w:cs="Arial"/>
          <w:szCs w:val="22"/>
        </w:rPr>
        <w:t xml:space="preserve">8.9.1.1. Fuentes externas de información: </w:t>
      </w:r>
    </w:p>
    <w:p w14:paraId="0763DCB1" w14:textId="77777777" w:rsidR="00F53AB1" w:rsidRPr="00A85FEA" w:rsidRDefault="00F53AB1" w:rsidP="000D4956">
      <w:pPr>
        <w:jc w:val="both"/>
        <w:rPr>
          <w:rFonts w:cs="Arial"/>
          <w:szCs w:val="22"/>
        </w:rPr>
      </w:pPr>
    </w:p>
    <w:p w14:paraId="1D1636DD" w14:textId="77777777" w:rsidR="00F53AB1" w:rsidRPr="00A85FEA" w:rsidRDefault="00F53AB1" w:rsidP="000D4956">
      <w:pPr>
        <w:jc w:val="both"/>
        <w:rPr>
          <w:rFonts w:cs="Arial"/>
          <w:szCs w:val="22"/>
        </w:rPr>
      </w:pPr>
      <w:r w:rsidRPr="00A85FEA">
        <w:rPr>
          <w:rFonts w:cs="Arial"/>
          <w:szCs w:val="22"/>
        </w:rPr>
        <w:t xml:space="preserve">Durante el periodo, han tenido, o van a tener lugar en un futuro inmediato, cambios significativos con una incidencia favorable sobre la entidad a largo plazo, los cuales están relacionados con el entorno legal, tecnológico, o de política gubernamental en el que opera la entidad. </w:t>
      </w:r>
    </w:p>
    <w:p w14:paraId="7843777A" w14:textId="77777777" w:rsidR="00F53AB1" w:rsidRPr="00A85FEA" w:rsidRDefault="00F53AB1" w:rsidP="000D4956">
      <w:pPr>
        <w:jc w:val="both"/>
        <w:rPr>
          <w:rFonts w:cs="Arial"/>
          <w:szCs w:val="22"/>
        </w:rPr>
      </w:pPr>
      <w:r w:rsidRPr="00A85FEA">
        <w:rPr>
          <w:rFonts w:cs="Arial"/>
          <w:szCs w:val="22"/>
        </w:rPr>
        <w:t>Durante el periodo, el valor de mercado del activo se ha incrementado significativamente.</w:t>
      </w:r>
    </w:p>
    <w:p w14:paraId="4F4B7031" w14:textId="77777777" w:rsidR="00F53AB1" w:rsidRPr="00A85FEA" w:rsidRDefault="00F53AB1" w:rsidP="000D4956">
      <w:pPr>
        <w:jc w:val="both"/>
        <w:rPr>
          <w:rFonts w:cs="Arial"/>
          <w:szCs w:val="22"/>
        </w:rPr>
      </w:pPr>
    </w:p>
    <w:p w14:paraId="1C1BDECC" w14:textId="77777777" w:rsidR="00F53AB1" w:rsidRPr="00A85FEA" w:rsidRDefault="00F53AB1" w:rsidP="00D87929">
      <w:pPr>
        <w:rPr>
          <w:rFonts w:cs="Arial"/>
          <w:szCs w:val="22"/>
        </w:rPr>
      </w:pPr>
      <w:r w:rsidRPr="00A85FEA">
        <w:rPr>
          <w:rFonts w:cs="Arial"/>
          <w:szCs w:val="22"/>
        </w:rPr>
        <w:t xml:space="preserve">8.9.1.1. Fuentes internas de información: </w:t>
      </w:r>
    </w:p>
    <w:p w14:paraId="743EE729" w14:textId="77777777" w:rsidR="00F53AB1" w:rsidRPr="00A85FEA" w:rsidRDefault="00F53AB1" w:rsidP="00D87929">
      <w:pPr>
        <w:rPr>
          <w:rFonts w:cs="Arial"/>
          <w:szCs w:val="22"/>
        </w:rPr>
      </w:pPr>
    </w:p>
    <w:p w14:paraId="2C3712CC" w14:textId="77777777" w:rsidR="00F53AB1" w:rsidRPr="00A85FEA" w:rsidRDefault="00F53AB1" w:rsidP="00635268">
      <w:pPr>
        <w:jc w:val="both"/>
        <w:rPr>
          <w:rFonts w:cs="Arial"/>
          <w:szCs w:val="22"/>
        </w:rPr>
      </w:pPr>
      <w:r w:rsidRPr="00A85FEA">
        <w:rPr>
          <w:rFonts w:cs="Arial"/>
          <w:szCs w:val="22"/>
        </w:rPr>
        <w:t xml:space="preserve">Durante el periodo, han tenido, o van a tener lugar en un futuro inmediato, cambios significativos en el grado de utilización o la forma en la que se usa o se espera usar el activo, los cuales afectarán favorablemente la entidad a largo plazo. Estos cambios incluyen los costos en los que se haya incurrido durante el periodo para mejorar o aumentar el rendimiento del activo o para reestructurar la operación a la que dicho activo pertenece. </w:t>
      </w:r>
    </w:p>
    <w:p w14:paraId="57D8DC2C" w14:textId="77777777" w:rsidR="00F53AB1" w:rsidRPr="00A85FEA" w:rsidRDefault="00F53AB1" w:rsidP="00635268">
      <w:pPr>
        <w:jc w:val="both"/>
        <w:rPr>
          <w:rFonts w:cs="Arial"/>
          <w:szCs w:val="22"/>
        </w:rPr>
      </w:pPr>
      <w:r w:rsidRPr="00A85FEA">
        <w:rPr>
          <w:rFonts w:cs="Arial"/>
          <w:szCs w:val="22"/>
        </w:rPr>
        <w:t xml:space="preserve">Se decide reanudar la construcción de un activo que estaba previamente detenida antes de su finalización o puesta en condiciones de funcionamiento, y respecto de la cual no existía, en el momento de su detención, evidencia objetiva de la reanudación de su construcción en el futuro próximo. </w:t>
      </w:r>
    </w:p>
    <w:p w14:paraId="35836970" w14:textId="77777777" w:rsidR="00F53AB1" w:rsidRPr="00A85FEA" w:rsidRDefault="00F53AB1" w:rsidP="00635268">
      <w:pPr>
        <w:jc w:val="both"/>
        <w:rPr>
          <w:rFonts w:cs="Arial"/>
          <w:szCs w:val="22"/>
        </w:rPr>
      </w:pPr>
      <w:r w:rsidRPr="00A85FEA">
        <w:rPr>
          <w:rFonts w:cs="Arial"/>
          <w:szCs w:val="22"/>
        </w:rPr>
        <w:lastRenderedPageBreak/>
        <w:t xml:space="preserve">Se dispone de evidencia procedente de informes internos, la cual indica que la capacidad del activo para producir bienes o prestar servicios es, o va a ser, mejor que el esperado. </w:t>
      </w:r>
    </w:p>
    <w:p w14:paraId="0D70C548" w14:textId="77777777" w:rsidR="00F53AB1" w:rsidRPr="00A85FEA" w:rsidRDefault="00F53AB1" w:rsidP="00635268">
      <w:pPr>
        <w:jc w:val="both"/>
        <w:rPr>
          <w:rFonts w:cs="Arial"/>
          <w:szCs w:val="22"/>
        </w:rPr>
      </w:pPr>
    </w:p>
    <w:p w14:paraId="3A4D1B98" w14:textId="77777777" w:rsidR="00F53AB1" w:rsidRPr="00A85FEA" w:rsidRDefault="00F53AB1" w:rsidP="00635268">
      <w:pPr>
        <w:jc w:val="both"/>
        <w:rPr>
          <w:rFonts w:cs="Arial"/>
          <w:szCs w:val="22"/>
        </w:rPr>
      </w:pPr>
      <w:r w:rsidRPr="00A85FEA">
        <w:rPr>
          <w:rFonts w:cs="Arial"/>
          <w:szCs w:val="22"/>
        </w:rPr>
        <w:t xml:space="preserve">Si existe algún indicio de que la pérdida por deterioro reconocida en periodos anteriores ya no existe o podría haber disminuido, se verificará tal inexistencia o disminución. En algunos casos podrá ser necesario revisar y ajustar la vida útil restante, el método de depreciación o de amortización, o el valor residual del activo, incluso si finalmente no se reconociera ninguna reversión del deterioro del valor para el activo considerado. </w:t>
      </w:r>
    </w:p>
    <w:p w14:paraId="3B287827" w14:textId="77777777" w:rsidR="00F53AB1" w:rsidRPr="00A85FEA" w:rsidRDefault="00F53AB1" w:rsidP="00D87929">
      <w:pPr>
        <w:rPr>
          <w:rFonts w:cs="Arial"/>
          <w:szCs w:val="22"/>
        </w:rPr>
      </w:pPr>
    </w:p>
    <w:p w14:paraId="1A963328" w14:textId="77777777" w:rsidR="00F53AB1" w:rsidRPr="00635268" w:rsidRDefault="00F53AB1" w:rsidP="00635268">
      <w:pPr>
        <w:pStyle w:val="Ttulo1"/>
        <w:rPr>
          <w:rFonts w:ascii="Arial" w:hAnsi="Arial" w:cs="Arial"/>
          <w:color w:val="auto"/>
          <w:sz w:val="22"/>
          <w:szCs w:val="22"/>
        </w:rPr>
      </w:pPr>
      <w:bookmarkStart w:id="141" w:name="_Toc525721437"/>
      <w:r w:rsidRPr="00635268">
        <w:rPr>
          <w:rFonts w:ascii="Arial" w:hAnsi="Arial" w:cs="Arial"/>
          <w:color w:val="auto"/>
          <w:sz w:val="22"/>
          <w:szCs w:val="22"/>
        </w:rPr>
        <w:t>8.10. Reconocimiento y medición de la reversión del deterioro</w:t>
      </w:r>
      <w:bookmarkEnd w:id="141"/>
      <w:r w:rsidRPr="00635268">
        <w:rPr>
          <w:rFonts w:ascii="Arial" w:hAnsi="Arial" w:cs="Arial"/>
          <w:color w:val="auto"/>
          <w:sz w:val="22"/>
          <w:szCs w:val="22"/>
        </w:rPr>
        <w:t xml:space="preserve"> </w:t>
      </w:r>
    </w:p>
    <w:p w14:paraId="0F3547D9" w14:textId="77777777" w:rsidR="00F53AB1" w:rsidRPr="00A85FEA" w:rsidRDefault="00F53AB1" w:rsidP="00D87929">
      <w:pPr>
        <w:rPr>
          <w:rFonts w:cs="Arial"/>
          <w:szCs w:val="22"/>
        </w:rPr>
      </w:pPr>
    </w:p>
    <w:p w14:paraId="0A11F9CC" w14:textId="77777777" w:rsidR="00F53AB1" w:rsidRPr="00A85FEA" w:rsidRDefault="00F53AB1" w:rsidP="00635268">
      <w:pPr>
        <w:jc w:val="both"/>
        <w:rPr>
          <w:rFonts w:cs="Arial"/>
          <w:szCs w:val="22"/>
        </w:rPr>
      </w:pPr>
      <w:r w:rsidRPr="00A85FEA">
        <w:rPr>
          <w:rFonts w:cs="Arial"/>
          <w:szCs w:val="22"/>
        </w:rPr>
        <w:t xml:space="preserve">La Corporación para el Desarrollo Sostenible del Norte y el Oriente Amazónico – CDA revertirá una pérdida por deterioro del valor de un activo no generador de efectivo cuando su valor en libros sea inferior al valor del servicio recuperable. El valor del servicio recuperable corresponde al mayor valor entre a) el valor de mercado, si existiere, menos los costos de disposición y b) el costo de reposición. Para el cálculo del costo de reposición, la entidad empleará el mismo enfoque utilizado en la determinación del deterioro originalmente reconocido. </w:t>
      </w:r>
    </w:p>
    <w:p w14:paraId="6EA8AFCB" w14:textId="77777777" w:rsidR="00F53AB1" w:rsidRPr="00A85FEA" w:rsidRDefault="00F53AB1" w:rsidP="00635268">
      <w:pPr>
        <w:jc w:val="both"/>
        <w:rPr>
          <w:rFonts w:cs="Arial"/>
          <w:szCs w:val="22"/>
        </w:rPr>
      </w:pPr>
    </w:p>
    <w:p w14:paraId="586CF0C9" w14:textId="77777777" w:rsidR="00F53AB1" w:rsidRPr="00A85FEA" w:rsidRDefault="00F53AB1" w:rsidP="00635268">
      <w:pPr>
        <w:jc w:val="both"/>
        <w:rPr>
          <w:rFonts w:cs="Arial"/>
          <w:szCs w:val="22"/>
        </w:rPr>
      </w:pPr>
      <w:r w:rsidRPr="00A85FEA">
        <w:rPr>
          <w:rFonts w:cs="Arial"/>
          <w:szCs w:val="22"/>
        </w:rPr>
        <w:t xml:space="preserve">La reversión de la pérdida por deterioro se reconocerá como un incremento del valor en libros del activo, afectando el resultado del periodo. </w:t>
      </w:r>
    </w:p>
    <w:p w14:paraId="665E3A8A" w14:textId="77777777" w:rsidR="00F53AB1" w:rsidRPr="00A85FEA" w:rsidRDefault="00F53AB1" w:rsidP="00635268">
      <w:pPr>
        <w:jc w:val="both"/>
        <w:rPr>
          <w:rFonts w:cs="Arial"/>
          <w:szCs w:val="22"/>
        </w:rPr>
      </w:pPr>
    </w:p>
    <w:p w14:paraId="47F8B313" w14:textId="77777777" w:rsidR="00F53AB1" w:rsidRPr="00A85FEA" w:rsidRDefault="00F53AB1" w:rsidP="00635268">
      <w:pPr>
        <w:jc w:val="both"/>
        <w:rPr>
          <w:rFonts w:cs="Arial"/>
          <w:szCs w:val="22"/>
        </w:rPr>
      </w:pPr>
      <w:r w:rsidRPr="00A85FEA">
        <w:rPr>
          <w:rFonts w:cs="Arial"/>
          <w:szCs w:val="22"/>
        </w:rPr>
        <w:t xml:space="preserve">En todo caso, el valor en libros del activo, después de la reversión de una pérdida por deterioro del valor, no excederá al valor en libros que tendría el activo si no se hubiera reconocido una pérdida por deterioro del valor en periodos anteriores. </w:t>
      </w:r>
    </w:p>
    <w:p w14:paraId="2AFAABCE" w14:textId="77777777" w:rsidR="00F53AB1" w:rsidRPr="00A85FEA" w:rsidRDefault="00F53AB1" w:rsidP="00635268">
      <w:pPr>
        <w:jc w:val="both"/>
        <w:rPr>
          <w:rFonts w:cs="Arial"/>
          <w:szCs w:val="22"/>
        </w:rPr>
      </w:pPr>
    </w:p>
    <w:p w14:paraId="6D9DD7BF" w14:textId="77777777" w:rsidR="00F53AB1" w:rsidRPr="00A85FEA" w:rsidRDefault="00F53AB1" w:rsidP="00635268">
      <w:pPr>
        <w:jc w:val="both"/>
        <w:rPr>
          <w:rFonts w:cs="Arial"/>
          <w:szCs w:val="22"/>
        </w:rPr>
      </w:pPr>
      <w:r w:rsidRPr="00A85FEA">
        <w:rPr>
          <w:rFonts w:cs="Arial"/>
          <w:szCs w:val="22"/>
        </w:rPr>
        <w:t>Después de reconocer una reversión de la pérdida por deterioro del valor, los cargos por depreciación o amortización del activo se ajustarán para los periodos futuros con el fin de distribuir el valor en libros revisado del activo menos su valor residual, si existiere, de una forma sistemática a lo largo de su vida útil restante.</w:t>
      </w:r>
    </w:p>
    <w:p w14:paraId="5B6AB964" w14:textId="77777777" w:rsidR="00F53AB1" w:rsidRPr="00A85FEA" w:rsidRDefault="00F53AB1" w:rsidP="00635268">
      <w:pPr>
        <w:pStyle w:val="Ttulo1"/>
        <w:rPr>
          <w:rFonts w:ascii="Arial" w:hAnsi="Arial" w:cs="Arial"/>
          <w:color w:val="auto"/>
          <w:sz w:val="22"/>
          <w:szCs w:val="22"/>
        </w:rPr>
      </w:pPr>
      <w:bookmarkStart w:id="142" w:name="_Toc525721438"/>
      <w:r w:rsidRPr="00A85FEA">
        <w:rPr>
          <w:rFonts w:ascii="Arial" w:hAnsi="Arial" w:cs="Arial"/>
          <w:color w:val="auto"/>
          <w:sz w:val="22"/>
          <w:szCs w:val="22"/>
        </w:rPr>
        <w:t>8.11. Revelaciones</w:t>
      </w:r>
      <w:bookmarkEnd w:id="142"/>
      <w:r w:rsidRPr="00A85FEA">
        <w:rPr>
          <w:rFonts w:ascii="Arial" w:hAnsi="Arial" w:cs="Arial"/>
          <w:color w:val="auto"/>
          <w:sz w:val="22"/>
          <w:szCs w:val="22"/>
        </w:rPr>
        <w:t xml:space="preserve"> </w:t>
      </w:r>
    </w:p>
    <w:p w14:paraId="285706AC" w14:textId="77777777" w:rsidR="00F53AB1" w:rsidRPr="00A85FEA" w:rsidRDefault="00F53AB1" w:rsidP="00D87929">
      <w:pPr>
        <w:rPr>
          <w:rFonts w:cs="Arial"/>
          <w:szCs w:val="22"/>
        </w:rPr>
      </w:pPr>
    </w:p>
    <w:p w14:paraId="2DA7CA0E" w14:textId="77777777" w:rsidR="00F53AB1" w:rsidRPr="00A85FEA" w:rsidRDefault="00F53AB1" w:rsidP="000D4956">
      <w:pPr>
        <w:jc w:val="both"/>
        <w:rPr>
          <w:rFonts w:cs="Arial"/>
          <w:szCs w:val="22"/>
        </w:rPr>
      </w:pPr>
      <w:r w:rsidRPr="00A85FEA">
        <w:rPr>
          <w:rFonts w:cs="Arial"/>
          <w:szCs w:val="22"/>
        </w:rPr>
        <w:t xml:space="preserve">Para los activos objeto de deterioro que se consideren materiales, la entidad revelará, en la clasificación que corresponda (propiedades, planta y equipo; activos intangibles; o activos biológicos), la siguiente información: </w:t>
      </w:r>
    </w:p>
    <w:p w14:paraId="18FF3F33" w14:textId="77777777" w:rsidR="00F53AB1" w:rsidRPr="00A85FEA" w:rsidRDefault="00F53AB1" w:rsidP="000D4956">
      <w:pPr>
        <w:jc w:val="both"/>
        <w:rPr>
          <w:rFonts w:cs="Arial"/>
          <w:szCs w:val="22"/>
        </w:rPr>
      </w:pPr>
    </w:p>
    <w:p w14:paraId="13283F47" w14:textId="77777777" w:rsidR="00F53AB1" w:rsidRPr="00A85FEA" w:rsidRDefault="00F53AB1" w:rsidP="000D4956">
      <w:pPr>
        <w:jc w:val="both"/>
        <w:rPr>
          <w:rFonts w:cs="Arial"/>
          <w:szCs w:val="22"/>
        </w:rPr>
      </w:pPr>
      <w:r w:rsidRPr="00A85FEA">
        <w:rPr>
          <w:rFonts w:cs="Arial"/>
          <w:szCs w:val="22"/>
        </w:rPr>
        <w:t xml:space="preserve">el valor de las pérdidas por deterioro del valor reconocidas durante el periodo; </w:t>
      </w:r>
    </w:p>
    <w:p w14:paraId="0A103FAB" w14:textId="77777777" w:rsidR="00F53AB1" w:rsidRPr="00A85FEA" w:rsidRDefault="00F53AB1" w:rsidP="000D4956">
      <w:pPr>
        <w:jc w:val="both"/>
        <w:rPr>
          <w:rFonts w:cs="Arial"/>
          <w:szCs w:val="22"/>
        </w:rPr>
      </w:pPr>
      <w:r w:rsidRPr="00A85FEA">
        <w:rPr>
          <w:rFonts w:cs="Arial"/>
          <w:szCs w:val="22"/>
        </w:rPr>
        <w:t xml:space="preserve">el valor de las reversiones de pérdidas por deterioro del valor reconocidas durante el periodo; </w:t>
      </w:r>
    </w:p>
    <w:p w14:paraId="2C67316E" w14:textId="77777777" w:rsidR="00F53AB1" w:rsidRPr="00A85FEA" w:rsidRDefault="00F53AB1" w:rsidP="000D4956">
      <w:pPr>
        <w:jc w:val="both"/>
        <w:rPr>
          <w:rFonts w:cs="Arial"/>
          <w:szCs w:val="22"/>
        </w:rPr>
      </w:pPr>
      <w:r w:rsidRPr="00A85FEA">
        <w:rPr>
          <w:rFonts w:cs="Arial"/>
          <w:szCs w:val="22"/>
        </w:rPr>
        <w:lastRenderedPageBreak/>
        <w:t xml:space="preserve">los eventos y circunstancias que hayan llevado al reconocimiento o a la reversión de la pérdida por deterioro del valor; y </w:t>
      </w:r>
    </w:p>
    <w:p w14:paraId="0DE0062E" w14:textId="77777777" w:rsidR="00F53AB1" w:rsidRPr="00A85FEA" w:rsidRDefault="00F53AB1" w:rsidP="000D4956">
      <w:pPr>
        <w:jc w:val="both"/>
        <w:rPr>
          <w:rFonts w:cs="Arial"/>
          <w:szCs w:val="22"/>
        </w:rPr>
      </w:pPr>
      <w:r w:rsidRPr="00A85FEA">
        <w:rPr>
          <w:rFonts w:cs="Arial"/>
          <w:szCs w:val="22"/>
        </w:rPr>
        <w:t>Si el valor del servicio recuperable se estableció con base en el valor de mercado menos los costos de disposición o el costo de reposición y el enfoque que se utilizó para la determinación de este último.</w:t>
      </w:r>
    </w:p>
    <w:p w14:paraId="6659D58C" w14:textId="77777777" w:rsidR="00F53AB1" w:rsidRPr="00A85FEA" w:rsidRDefault="00F53AB1" w:rsidP="001422CA">
      <w:pPr>
        <w:pStyle w:val="Ttulo1"/>
        <w:jc w:val="center"/>
        <w:rPr>
          <w:rFonts w:ascii="Arial" w:hAnsi="Arial" w:cs="Arial"/>
          <w:color w:val="auto"/>
          <w:sz w:val="22"/>
          <w:szCs w:val="22"/>
        </w:rPr>
      </w:pPr>
      <w:bookmarkStart w:id="143" w:name="_Toc525721439"/>
      <w:r w:rsidRPr="00A85FEA">
        <w:rPr>
          <w:rFonts w:ascii="Arial" w:hAnsi="Arial" w:cs="Arial"/>
          <w:color w:val="auto"/>
          <w:sz w:val="22"/>
          <w:szCs w:val="22"/>
        </w:rPr>
        <w:t>CAPITULO IV. PASIVOS</w:t>
      </w:r>
      <w:bookmarkEnd w:id="143"/>
    </w:p>
    <w:p w14:paraId="1F62369A" w14:textId="77777777" w:rsidR="00F53AB1" w:rsidRPr="00A85FEA" w:rsidRDefault="00F53AB1" w:rsidP="001422CA">
      <w:pPr>
        <w:pStyle w:val="Ttulo1"/>
        <w:rPr>
          <w:rFonts w:ascii="Arial" w:hAnsi="Arial" w:cs="Arial"/>
          <w:color w:val="auto"/>
          <w:sz w:val="22"/>
          <w:szCs w:val="22"/>
        </w:rPr>
      </w:pPr>
      <w:bookmarkStart w:id="144" w:name="_Toc525721440"/>
      <w:r w:rsidRPr="00A85FEA">
        <w:rPr>
          <w:rFonts w:ascii="Arial" w:hAnsi="Arial" w:cs="Arial"/>
          <w:color w:val="auto"/>
          <w:sz w:val="22"/>
          <w:szCs w:val="22"/>
        </w:rPr>
        <w:t>1. POLÍTICA DE CUENTAS POR PAGAR</w:t>
      </w:r>
      <w:bookmarkEnd w:id="144"/>
    </w:p>
    <w:p w14:paraId="15D56426" w14:textId="77777777" w:rsidR="00F53AB1" w:rsidRPr="00A85FEA" w:rsidRDefault="00F53AB1" w:rsidP="001422CA">
      <w:pPr>
        <w:pStyle w:val="Ttulo1"/>
        <w:rPr>
          <w:rFonts w:ascii="Arial" w:hAnsi="Arial" w:cs="Arial"/>
          <w:color w:val="auto"/>
          <w:sz w:val="22"/>
          <w:szCs w:val="22"/>
        </w:rPr>
      </w:pPr>
      <w:bookmarkStart w:id="145" w:name="_Toc525721441"/>
      <w:r w:rsidRPr="00A85FEA">
        <w:rPr>
          <w:rFonts w:ascii="Arial" w:hAnsi="Arial" w:cs="Arial"/>
          <w:color w:val="auto"/>
          <w:sz w:val="22"/>
          <w:szCs w:val="22"/>
        </w:rPr>
        <w:t>1.1. Objetivo</w:t>
      </w:r>
      <w:bookmarkEnd w:id="145"/>
    </w:p>
    <w:p w14:paraId="366FD41B" w14:textId="77777777" w:rsidR="00F53AB1" w:rsidRPr="00A85FEA" w:rsidRDefault="00F53AB1" w:rsidP="00D87929">
      <w:pPr>
        <w:rPr>
          <w:rFonts w:cs="Arial"/>
          <w:szCs w:val="22"/>
        </w:rPr>
      </w:pPr>
    </w:p>
    <w:p w14:paraId="7B28E287" w14:textId="77777777" w:rsidR="00F53AB1" w:rsidRPr="00A85FEA" w:rsidRDefault="00F53AB1" w:rsidP="001422CA">
      <w:pPr>
        <w:jc w:val="both"/>
        <w:rPr>
          <w:rFonts w:cs="Arial"/>
          <w:szCs w:val="22"/>
        </w:rPr>
      </w:pPr>
      <w:r w:rsidRPr="00A85FEA">
        <w:rPr>
          <w:rFonts w:cs="Arial"/>
          <w:szCs w:val="22"/>
        </w:rPr>
        <w:t>Establecer las bases necesarias para que la Corporación para el Desarrollo Sostenible del Norte y el Oriente Amazónico – CDA reconozca, mida, presente y revele de manera adecuada y conforme al marco normativo para entidades de gobierno los hechos económicos correspondientes a cuentas por pagar.</w:t>
      </w:r>
    </w:p>
    <w:p w14:paraId="6A874343" w14:textId="77777777" w:rsidR="00F53AB1" w:rsidRPr="00A85FEA" w:rsidRDefault="00F53AB1" w:rsidP="001422CA">
      <w:pPr>
        <w:pStyle w:val="Ttulo1"/>
        <w:rPr>
          <w:rFonts w:ascii="Arial" w:hAnsi="Arial" w:cs="Arial"/>
          <w:color w:val="auto"/>
          <w:sz w:val="22"/>
          <w:szCs w:val="22"/>
        </w:rPr>
      </w:pPr>
      <w:bookmarkStart w:id="146" w:name="_Toc525721442"/>
      <w:r w:rsidRPr="00A85FEA">
        <w:rPr>
          <w:rFonts w:ascii="Arial" w:hAnsi="Arial" w:cs="Arial"/>
          <w:color w:val="auto"/>
          <w:sz w:val="22"/>
          <w:szCs w:val="22"/>
        </w:rPr>
        <w:t>1.2. Normatividad relacionada</w:t>
      </w:r>
      <w:bookmarkEnd w:id="146"/>
    </w:p>
    <w:p w14:paraId="622C42AC" w14:textId="77777777" w:rsidR="00F53AB1" w:rsidRPr="00A85FEA" w:rsidRDefault="00F53AB1" w:rsidP="00D87929">
      <w:pPr>
        <w:rPr>
          <w:rFonts w:cs="Arial"/>
          <w:szCs w:val="22"/>
        </w:rPr>
      </w:pPr>
    </w:p>
    <w:p w14:paraId="57069873" w14:textId="77777777" w:rsidR="00F53AB1" w:rsidRPr="00A85FEA" w:rsidRDefault="00F53AB1" w:rsidP="00D87929">
      <w:pPr>
        <w:rPr>
          <w:rFonts w:cs="Arial"/>
          <w:szCs w:val="22"/>
        </w:rPr>
      </w:pPr>
      <w:r w:rsidRPr="00A85FEA">
        <w:rPr>
          <w:rFonts w:cs="Arial"/>
          <w:szCs w:val="22"/>
        </w:rPr>
        <w:t>Normas para el Reconocimiento, Medición, Revelación y Presentación de los Hechos Económicos de las entidades de Gobierno, Capítulo II. Pasivos, Numeral 2. Cuentas por pagar.</w:t>
      </w:r>
    </w:p>
    <w:p w14:paraId="3313570F" w14:textId="77777777" w:rsidR="00F53AB1" w:rsidRPr="00A85FEA" w:rsidRDefault="00F53AB1" w:rsidP="001422CA">
      <w:pPr>
        <w:pStyle w:val="Ttulo1"/>
        <w:rPr>
          <w:rFonts w:ascii="Arial" w:hAnsi="Arial" w:cs="Arial"/>
          <w:color w:val="auto"/>
          <w:sz w:val="22"/>
          <w:szCs w:val="22"/>
        </w:rPr>
      </w:pPr>
      <w:bookmarkStart w:id="147" w:name="_Toc525721443"/>
      <w:r w:rsidRPr="00A85FEA">
        <w:rPr>
          <w:rFonts w:ascii="Arial" w:hAnsi="Arial" w:cs="Arial"/>
          <w:color w:val="auto"/>
          <w:sz w:val="22"/>
          <w:szCs w:val="22"/>
        </w:rPr>
        <w:t>1.3. Alcance</w:t>
      </w:r>
      <w:bookmarkEnd w:id="147"/>
    </w:p>
    <w:p w14:paraId="07FFA7C7" w14:textId="77777777" w:rsidR="00F53AB1" w:rsidRPr="00A85FEA" w:rsidRDefault="00F53AB1" w:rsidP="00D87929">
      <w:pPr>
        <w:rPr>
          <w:rFonts w:cs="Arial"/>
          <w:szCs w:val="22"/>
        </w:rPr>
      </w:pPr>
    </w:p>
    <w:p w14:paraId="75D44226" w14:textId="77777777" w:rsidR="00F53AB1" w:rsidRPr="00A85FEA" w:rsidRDefault="00F53AB1" w:rsidP="001422CA">
      <w:pPr>
        <w:jc w:val="both"/>
        <w:rPr>
          <w:rFonts w:cs="Arial"/>
          <w:szCs w:val="22"/>
        </w:rPr>
      </w:pPr>
      <w:r w:rsidRPr="00A85FEA">
        <w:rPr>
          <w:rFonts w:cs="Arial"/>
          <w:szCs w:val="22"/>
        </w:rPr>
        <w:t>Esta política aplica para las siguientes cuentas:</w:t>
      </w:r>
    </w:p>
    <w:p w14:paraId="6AFAA93B" w14:textId="77777777" w:rsidR="00F53AB1" w:rsidRPr="00A85FEA" w:rsidRDefault="00F53AB1" w:rsidP="001422CA">
      <w:pPr>
        <w:jc w:val="both"/>
        <w:rPr>
          <w:rFonts w:cs="Arial"/>
          <w:szCs w:val="22"/>
        </w:rPr>
      </w:pPr>
    </w:p>
    <w:p w14:paraId="2D3B3F56" w14:textId="77777777" w:rsidR="00F53AB1" w:rsidRPr="00A85FEA" w:rsidRDefault="00F53AB1" w:rsidP="001422CA">
      <w:pPr>
        <w:jc w:val="both"/>
        <w:rPr>
          <w:rFonts w:cs="Arial"/>
          <w:szCs w:val="22"/>
        </w:rPr>
      </w:pPr>
      <w:r w:rsidRPr="00A85FEA">
        <w:rPr>
          <w:rFonts w:cs="Arial"/>
          <w:szCs w:val="22"/>
        </w:rPr>
        <w:t>Adquisición de bienes y servicios</w:t>
      </w:r>
    </w:p>
    <w:p w14:paraId="54F9864E" w14:textId="77777777" w:rsidR="00F53AB1" w:rsidRPr="00A85FEA" w:rsidRDefault="00F53AB1" w:rsidP="001422CA">
      <w:pPr>
        <w:jc w:val="both"/>
        <w:rPr>
          <w:rFonts w:cs="Arial"/>
          <w:szCs w:val="22"/>
        </w:rPr>
      </w:pPr>
      <w:r w:rsidRPr="00A85FEA">
        <w:rPr>
          <w:rFonts w:cs="Arial"/>
          <w:szCs w:val="22"/>
        </w:rPr>
        <w:t>Descuentos de nomina</w:t>
      </w:r>
    </w:p>
    <w:p w14:paraId="03A243CB" w14:textId="77777777" w:rsidR="00F53AB1" w:rsidRPr="00A85FEA" w:rsidRDefault="00F53AB1" w:rsidP="001422CA">
      <w:pPr>
        <w:jc w:val="both"/>
        <w:rPr>
          <w:rFonts w:cs="Arial"/>
          <w:szCs w:val="22"/>
        </w:rPr>
      </w:pPr>
      <w:r w:rsidRPr="00A85FEA">
        <w:rPr>
          <w:rFonts w:cs="Arial"/>
          <w:szCs w:val="22"/>
        </w:rPr>
        <w:t>Retención en la fuente e impuesto de timbre</w:t>
      </w:r>
    </w:p>
    <w:p w14:paraId="030F73FA" w14:textId="77777777" w:rsidR="00F53AB1" w:rsidRPr="00A85FEA" w:rsidRDefault="00F53AB1" w:rsidP="001422CA">
      <w:pPr>
        <w:jc w:val="both"/>
        <w:rPr>
          <w:rFonts w:cs="Arial"/>
          <w:szCs w:val="22"/>
        </w:rPr>
      </w:pPr>
      <w:r w:rsidRPr="00A85FEA">
        <w:rPr>
          <w:rFonts w:cs="Arial"/>
          <w:szCs w:val="22"/>
        </w:rPr>
        <w:t>Impuestos, contribuciones y tasas por pagar</w:t>
      </w:r>
    </w:p>
    <w:p w14:paraId="02E0FE43" w14:textId="77777777" w:rsidR="00F53AB1" w:rsidRPr="00A85FEA" w:rsidRDefault="00F53AB1" w:rsidP="001422CA">
      <w:pPr>
        <w:jc w:val="both"/>
        <w:rPr>
          <w:rFonts w:cs="Arial"/>
          <w:szCs w:val="22"/>
        </w:rPr>
      </w:pPr>
      <w:r w:rsidRPr="00A85FEA">
        <w:rPr>
          <w:rFonts w:cs="Arial"/>
          <w:szCs w:val="22"/>
        </w:rPr>
        <w:t>Otras cuentas por pagar</w:t>
      </w:r>
    </w:p>
    <w:p w14:paraId="0C870BEA" w14:textId="77777777" w:rsidR="00F53AB1" w:rsidRPr="00A85FEA" w:rsidRDefault="00F53AB1" w:rsidP="001422CA">
      <w:pPr>
        <w:pStyle w:val="Ttulo1"/>
        <w:rPr>
          <w:rFonts w:ascii="Arial" w:hAnsi="Arial" w:cs="Arial"/>
          <w:color w:val="auto"/>
          <w:sz w:val="22"/>
          <w:szCs w:val="22"/>
        </w:rPr>
      </w:pPr>
      <w:bookmarkStart w:id="148" w:name="_Toc525721444"/>
      <w:r w:rsidRPr="00A85FEA">
        <w:rPr>
          <w:rFonts w:ascii="Arial" w:hAnsi="Arial" w:cs="Arial"/>
          <w:color w:val="auto"/>
          <w:sz w:val="22"/>
          <w:szCs w:val="22"/>
        </w:rPr>
        <w:t>1.4. Política contable general</w:t>
      </w:r>
      <w:bookmarkEnd w:id="148"/>
    </w:p>
    <w:p w14:paraId="33E0C3A1" w14:textId="77777777" w:rsidR="00F53AB1" w:rsidRPr="00A85FEA" w:rsidRDefault="00F53AB1" w:rsidP="00D87929">
      <w:pPr>
        <w:rPr>
          <w:rFonts w:cs="Arial"/>
          <w:szCs w:val="22"/>
        </w:rPr>
      </w:pPr>
    </w:p>
    <w:p w14:paraId="50BDCF79" w14:textId="77777777" w:rsidR="00F53AB1" w:rsidRPr="00A85FEA" w:rsidRDefault="00F53AB1" w:rsidP="00607B87">
      <w:pPr>
        <w:jc w:val="both"/>
        <w:rPr>
          <w:rFonts w:cs="Arial"/>
          <w:szCs w:val="22"/>
        </w:rPr>
      </w:pPr>
      <w:r w:rsidRPr="00A85FEA">
        <w:rPr>
          <w:rFonts w:cs="Arial"/>
          <w:szCs w:val="22"/>
        </w:rPr>
        <w:lastRenderedPageBreak/>
        <w:t>Las cuentas por pagar son canceladas durante el periodo contable, la Corporación para el Desarrollo Sostenible del Norte y el Oriente Amazónico – CDA no maneja cuentas por pagar con tasa de financiación ni a largo plazo.</w:t>
      </w:r>
    </w:p>
    <w:p w14:paraId="1CCD305F" w14:textId="77777777" w:rsidR="00F53AB1" w:rsidRPr="00A85FEA" w:rsidRDefault="00F53AB1" w:rsidP="001422CA">
      <w:pPr>
        <w:pStyle w:val="Ttulo1"/>
        <w:rPr>
          <w:rFonts w:ascii="Arial" w:hAnsi="Arial" w:cs="Arial"/>
          <w:color w:val="auto"/>
          <w:sz w:val="22"/>
          <w:szCs w:val="22"/>
        </w:rPr>
      </w:pPr>
      <w:bookmarkStart w:id="149" w:name="_Toc525721445"/>
      <w:r w:rsidRPr="00A85FEA">
        <w:rPr>
          <w:rFonts w:ascii="Arial" w:hAnsi="Arial" w:cs="Arial"/>
          <w:color w:val="auto"/>
          <w:sz w:val="22"/>
          <w:szCs w:val="22"/>
        </w:rPr>
        <w:t>1.5. Reconocimiento</w:t>
      </w:r>
      <w:bookmarkEnd w:id="149"/>
    </w:p>
    <w:p w14:paraId="06C57712" w14:textId="77777777" w:rsidR="00F53AB1" w:rsidRPr="00A85FEA" w:rsidRDefault="00F53AB1" w:rsidP="00D87929">
      <w:pPr>
        <w:rPr>
          <w:rFonts w:cs="Arial"/>
          <w:szCs w:val="22"/>
        </w:rPr>
      </w:pPr>
    </w:p>
    <w:p w14:paraId="607596BF" w14:textId="77777777" w:rsidR="00F53AB1" w:rsidRPr="00A85FEA" w:rsidRDefault="00F53AB1" w:rsidP="00607B87">
      <w:pPr>
        <w:jc w:val="both"/>
        <w:rPr>
          <w:rFonts w:cs="Arial"/>
          <w:szCs w:val="22"/>
        </w:rPr>
      </w:pPr>
      <w:r w:rsidRPr="00A85FEA">
        <w:rPr>
          <w:rFonts w:cs="Arial"/>
          <w:szCs w:val="22"/>
        </w:rPr>
        <w:t>Se reconocerán como cuentas por pagar las obligaciones adquiridas por la entidad con terceros, originadas en el desarrollo de sus actividades y de las cuales se espere, a futuro, la salida de un flujo financiero fijo o determinable a través de efectivo, equivalentes al efectivo u otro instrumento.</w:t>
      </w:r>
    </w:p>
    <w:p w14:paraId="1A2519D8" w14:textId="77777777" w:rsidR="00F53AB1" w:rsidRPr="00A85FEA" w:rsidRDefault="00F53AB1" w:rsidP="001422CA">
      <w:pPr>
        <w:pStyle w:val="Ttulo1"/>
        <w:rPr>
          <w:rFonts w:ascii="Arial" w:hAnsi="Arial" w:cs="Arial"/>
          <w:color w:val="auto"/>
          <w:sz w:val="22"/>
          <w:szCs w:val="22"/>
        </w:rPr>
      </w:pPr>
      <w:bookmarkStart w:id="150" w:name="_Toc525721446"/>
      <w:r w:rsidRPr="00A85FEA">
        <w:rPr>
          <w:rFonts w:ascii="Arial" w:hAnsi="Arial" w:cs="Arial"/>
          <w:color w:val="auto"/>
          <w:sz w:val="22"/>
          <w:szCs w:val="22"/>
        </w:rPr>
        <w:t>1.6. Clasificación</w:t>
      </w:r>
      <w:bookmarkEnd w:id="150"/>
      <w:r w:rsidRPr="00A85FEA">
        <w:rPr>
          <w:rFonts w:ascii="Arial" w:hAnsi="Arial" w:cs="Arial"/>
          <w:color w:val="auto"/>
          <w:sz w:val="22"/>
          <w:szCs w:val="22"/>
        </w:rPr>
        <w:t xml:space="preserve"> </w:t>
      </w:r>
    </w:p>
    <w:p w14:paraId="1C5D41FF" w14:textId="77777777" w:rsidR="00F53AB1" w:rsidRPr="00A85FEA" w:rsidRDefault="00F53AB1" w:rsidP="00D87929">
      <w:pPr>
        <w:rPr>
          <w:rFonts w:cs="Arial"/>
          <w:szCs w:val="22"/>
        </w:rPr>
      </w:pPr>
    </w:p>
    <w:p w14:paraId="40B994E6" w14:textId="77777777" w:rsidR="00F53AB1" w:rsidRPr="00A85FEA" w:rsidRDefault="00F53AB1" w:rsidP="00D87929">
      <w:pPr>
        <w:rPr>
          <w:rFonts w:cs="Arial"/>
          <w:szCs w:val="22"/>
        </w:rPr>
      </w:pPr>
      <w:r w:rsidRPr="00A85FEA">
        <w:rPr>
          <w:rFonts w:cs="Arial"/>
          <w:szCs w:val="22"/>
        </w:rPr>
        <w:t>Las cuentas por pagar se clasificarán en la categoría de costo.</w:t>
      </w:r>
    </w:p>
    <w:p w14:paraId="2A921D6A" w14:textId="77777777" w:rsidR="00F53AB1" w:rsidRPr="00A85FEA" w:rsidRDefault="00F53AB1" w:rsidP="001422CA">
      <w:pPr>
        <w:pStyle w:val="Ttulo1"/>
        <w:rPr>
          <w:rFonts w:ascii="Arial" w:hAnsi="Arial" w:cs="Arial"/>
          <w:color w:val="auto"/>
          <w:sz w:val="22"/>
          <w:szCs w:val="22"/>
        </w:rPr>
      </w:pPr>
      <w:bookmarkStart w:id="151" w:name="_Toc525721447"/>
      <w:r w:rsidRPr="00A85FEA">
        <w:rPr>
          <w:rFonts w:ascii="Arial" w:hAnsi="Arial" w:cs="Arial"/>
          <w:color w:val="auto"/>
          <w:sz w:val="22"/>
          <w:szCs w:val="22"/>
        </w:rPr>
        <w:t>1.7. Medición inicial</w:t>
      </w:r>
      <w:bookmarkEnd w:id="151"/>
    </w:p>
    <w:p w14:paraId="427F2787" w14:textId="77777777" w:rsidR="00F53AB1" w:rsidRPr="00A85FEA" w:rsidRDefault="00F53AB1" w:rsidP="00D87929">
      <w:pPr>
        <w:rPr>
          <w:rFonts w:cs="Arial"/>
          <w:szCs w:val="22"/>
        </w:rPr>
      </w:pPr>
    </w:p>
    <w:p w14:paraId="231C2C7A" w14:textId="77777777" w:rsidR="00F53AB1" w:rsidRPr="00A85FEA" w:rsidRDefault="00F53AB1" w:rsidP="00D87929">
      <w:pPr>
        <w:rPr>
          <w:rFonts w:cs="Arial"/>
          <w:szCs w:val="22"/>
        </w:rPr>
      </w:pPr>
      <w:r w:rsidRPr="00A85FEA">
        <w:rPr>
          <w:rFonts w:cs="Arial"/>
          <w:szCs w:val="22"/>
        </w:rPr>
        <w:t>Las cuentas por pagar se medirán por el valor de la transacción.</w:t>
      </w:r>
    </w:p>
    <w:p w14:paraId="0AE31446" w14:textId="77777777" w:rsidR="00F53AB1" w:rsidRPr="00A85FEA" w:rsidRDefault="00F53AB1" w:rsidP="001422CA">
      <w:pPr>
        <w:pStyle w:val="Ttulo1"/>
        <w:rPr>
          <w:rFonts w:ascii="Arial" w:hAnsi="Arial" w:cs="Arial"/>
          <w:color w:val="auto"/>
          <w:sz w:val="22"/>
          <w:szCs w:val="22"/>
        </w:rPr>
      </w:pPr>
      <w:bookmarkStart w:id="152" w:name="_Toc525721448"/>
      <w:r w:rsidRPr="00A85FEA">
        <w:rPr>
          <w:rFonts w:ascii="Arial" w:hAnsi="Arial" w:cs="Arial"/>
          <w:color w:val="auto"/>
          <w:sz w:val="22"/>
          <w:szCs w:val="22"/>
        </w:rPr>
        <w:t>1.8. Medición posterior</w:t>
      </w:r>
      <w:bookmarkEnd w:id="152"/>
      <w:r w:rsidRPr="00A85FEA">
        <w:rPr>
          <w:rFonts w:ascii="Arial" w:hAnsi="Arial" w:cs="Arial"/>
          <w:color w:val="auto"/>
          <w:sz w:val="22"/>
          <w:szCs w:val="22"/>
        </w:rPr>
        <w:t xml:space="preserve"> </w:t>
      </w:r>
    </w:p>
    <w:p w14:paraId="448D6DA3" w14:textId="77777777" w:rsidR="00F53AB1" w:rsidRPr="00A85FEA" w:rsidRDefault="00F53AB1" w:rsidP="00D87929">
      <w:pPr>
        <w:rPr>
          <w:rFonts w:cs="Arial"/>
          <w:szCs w:val="22"/>
        </w:rPr>
      </w:pPr>
    </w:p>
    <w:p w14:paraId="00B3E680" w14:textId="77777777" w:rsidR="00F53AB1" w:rsidRPr="00A85FEA" w:rsidRDefault="00F53AB1" w:rsidP="00D87929">
      <w:pPr>
        <w:rPr>
          <w:rFonts w:cs="Arial"/>
          <w:szCs w:val="22"/>
        </w:rPr>
      </w:pPr>
      <w:r w:rsidRPr="00A85FEA">
        <w:rPr>
          <w:rFonts w:cs="Arial"/>
          <w:szCs w:val="22"/>
        </w:rPr>
        <w:t xml:space="preserve">Con posterioridad al reconocimiento, las cuentas por pagar se mantendrán por el valor de la transacción. </w:t>
      </w:r>
    </w:p>
    <w:p w14:paraId="109E7FA4" w14:textId="77777777" w:rsidR="00F53AB1" w:rsidRPr="00A85FEA" w:rsidRDefault="00F53AB1" w:rsidP="00D87929">
      <w:pPr>
        <w:rPr>
          <w:rFonts w:cs="Arial"/>
          <w:szCs w:val="22"/>
        </w:rPr>
      </w:pPr>
    </w:p>
    <w:p w14:paraId="2B936077" w14:textId="77777777" w:rsidR="00F53AB1" w:rsidRPr="00A85FEA" w:rsidRDefault="00F53AB1" w:rsidP="001422CA">
      <w:pPr>
        <w:pStyle w:val="Ttulo1"/>
        <w:rPr>
          <w:rFonts w:ascii="Arial" w:hAnsi="Arial" w:cs="Arial"/>
          <w:color w:val="auto"/>
          <w:sz w:val="22"/>
          <w:szCs w:val="22"/>
        </w:rPr>
      </w:pPr>
      <w:bookmarkStart w:id="153" w:name="_Toc525721449"/>
      <w:r w:rsidRPr="00A85FEA">
        <w:rPr>
          <w:rFonts w:ascii="Arial" w:hAnsi="Arial" w:cs="Arial"/>
          <w:color w:val="auto"/>
          <w:sz w:val="22"/>
          <w:szCs w:val="22"/>
        </w:rPr>
        <w:t>1.9. Gestión de riesgo</w:t>
      </w:r>
      <w:bookmarkEnd w:id="153"/>
    </w:p>
    <w:p w14:paraId="4FE888D0" w14:textId="77777777" w:rsidR="00F53AB1" w:rsidRPr="00A85FEA" w:rsidRDefault="00F53AB1" w:rsidP="00D87929">
      <w:pPr>
        <w:rPr>
          <w:rFonts w:cs="Arial"/>
          <w:szCs w:val="22"/>
        </w:rPr>
      </w:pPr>
    </w:p>
    <w:p w14:paraId="26D57203" w14:textId="77777777" w:rsidR="00F53AB1" w:rsidRPr="00A85FEA" w:rsidRDefault="00F53AB1" w:rsidP="00D87929">
      <w:pPr>
        <w:rPr>
          <w:rFonts w:cs="Arial"/>
          <w:szCs w:val="22"/>
        </w:rPr>
      </w:pPr>
      <w:r w:rsidRPr="00A85FEA">
        <w:rPr>
          <w:rFonts w:cs="Arial"/>
          <w:szCs w:val="22"/>
        </w:rPr>
        <w:t>Mora en la cancelación de las cuentas por pagar</w:t>
      </w:r>
    </w:p>
    <w:p w14:paraId="6583A22C" w14:textId="77777777" w:rsidR="00F53AB1" w:rsidRPr="00A85FEA" w:rsidRDefault="00F53AB1" w:rsidP="001422CA">
      <w:pPr>
        <w:pStyle w:val="Ttulo1"/>
        <w:rPr>
          <w:rFonts w:ascii="Arial" w:hAnsi="Arial" w:cs="Arial"/>
          <w:color w:val="auto"/>
          <w:sz w:val="22"/>
          <w:szCs w:val="22"/>
        </w:rPr>
      </w:pPr>
      <w:bookmarkStart w:id="154" w:name="_Toc525721450"/>
      <w:r w:rsidRPr="00A85FEA">
        <w:rPr>
          <w:rFonts w:ascii="Arial" w:hAnsi="Arial" w:cs="Arial"/>
          <w:color w:val="auto"/>
          <w:sz w:val="22"/>
          <w:szCs w:val="22"/>
        </w:rPr>
        <w:t>1.10. Controles contables</w:t>
      </w:r>
      <w:bookmarkEnd w:id="154"/>
    </w:p>
    <w:p w14:paraId="05F15DF6" w14:textId="77777777" w:rsidR="00F53AB1" w:rsidRPr="00A85FEA" w:rsidRDefault="00F53AB1" w:rsidP="00D87929">
      <w:pPr>
        <w:rPr>
          <w:rFonts w:cs="Arial"/>
          <w:szCs w:val="22"/>
        </w:rPr>
      </w:pPr>
    </w:p>
    <w:p w14:paraId="17AE5008" w14:textId="77777777" w:rsidR="00F53AB1" w:rsidRPr="00A85FEA" w:rsidRDefault="00F53AB1" w:rsidP="00D87929">
      <w:pPr>
        <w:rPr>
          <w:rFonts w:cs="Arial"/>
          <w:szCs w:val="22"/>
        </w:rPr>
      </w:pPr>
      <w:r w:rsidRPr="00A85FEA">
        <w:rPr>
          <w:rFonts w:cs="Arial"/>
          <w:szCs w:val="22"/>
        </w:rPr>
        <w:t>Cumplimiento en las obligaciones adquiridas de las cuentas por pagar</w:t>
      </w:r>
    </w:p>
    <w:p w14:paraId="1540F616" w14:textId="77777777" w:rsidR="00F53AB1" w:rsidRPr="00A85FEA" w:rsidRDefault="00F53AB1" w:rsidP="001422CA">
      <w:pPr>
        <w:pStyle w:val="Ttulo1"/>
        <w:rPr>
          <w:rFonts w:ascii="Arial" w:hAnsi="Arial" w:cs="Arial"/>
          <w:color w:val="auto"/>
          <w:sz w:val="22"/>
          <w:szCs w:val="22"/>
        </w:rPr>
      </w:pPr>
      <w:bookmarkStart w:id="155" w:name="_Toc525721451"/>
      <w:r w:rsidRPr="00A85FEA">
        <w:rPr>
          <w:rFonts w:ascii="Arial" w:hAnsi="Arial" w:cs="Arial"/>
          <w:color w:val="auto"/>
          <w:sz w:val="22"/>
          <w:szCs w:val="22"/>
        </w:rPr>
        <w:t>1.11. Baja en cuentas</w:t>
      </w:r>
      <w:bookmarkEnd w:id="155"/>
      <w:r w:rsidRPr="00A85FEA">
        <w:rPr>
          <w:rFonts w:ascii="Arial" w:hAnsi="Arial" w:cs="Arial"/>
          <w:color w:val="auto"/>
          <w:sz w:val="22"/>
          <w:szCs w:val="22"/>
        </w:rPr>
        <w:t xml:space="preserve"> </w:t>
      </w:r>
    </w:p>
    <w:p w14:paraId="782D5FCA" w14:textId="77777777" w:rsidR="00F53AB1" w:rsidRPr="00A85FEA" w:rsidRDefault="00F53AB1" w:rsidP="00D87929">
      <w:pPr>
        <w:rPr>
          <w:rFonts w:cs="Arial"/>
          <w:szCs w:val="22"/>
        </w:rPr>
      </w:pPr>
    </w:p>
    <w:p w14:paraId="7FC0B241" w14:textId="77777777" w:rsidR="00F53AB1" w:rsidRPr="00A85FEA" w:rsidRDefault="00F53AB1" w:rsidP="00EC4E0F">
      <w:pPr>
        <w:jc w:val="both"/>
        <w:rPr>
          <w:rFonts w:cs="Arial"/>
          <w:szCs w:val="22"/>
        </w:rPr>
      </w:pPr>
      <w:r w:rsidRPr="00A85FEA">
        <w:rPr>
          <w:rFonts w:cs="Arial"/>
          <w:szCs w:val="22"/>
        </w:rPr>
        <w:lastRenderedPageBreak/>
        <w:t>Se dejará de reconocer una cuenta por pagar cuando se extingan las obligaciones que la originaron, esto es, cuando:</w:t>
      </w:r>
    </w:p>
    <w:p w14:paraId="1E835AC8" w14:textId="77777777" w:rsidR="00F53AB1" w:rsidRPr="00A85FEA" w:rsidRDefault="00F53AB1" w:rsidP="00EC4E0F">
      <w:pPr>
        <w:jc w:val="both"/>
        <w:rPr>
          <w:rFonts w:cs="Arial"/>
          <w:szCs w:val="22"/>
        </w:rPr>
      </w:pPr>
    </w:p>
    <w:p w14:paraId="303E652D" w14:textId="77777777" w:rsidR="00F53AB1" w:rsidRPr="00A85FEA" w:rsidRDefault="001422CA" w:rsidP="00EC4E0F">
      <w:pPr>
        <w:jc w:val="both"/>
        <w:rPr>
          <w:rFonts w:cs="Arial"/>
          <w:szCs w:val="22"/>
        </w:rPr>
      </w:pPr>
      <w:r w:rsidRPr="00A85FEA">
        <w:rPr>
          <w:rFonts w:cs="Arial"/>
          <w:szCs w:val="22"/>
        </w:rPr>
        <w:t>La</w:t>
      </w:r>
      <w:r w:rsidR="00F53AB1" w:rsidRPr="00A85FEA">
        <w:rPr>
          <w:rFonts w:cs="Arial"/>
          <w:szCs w:val="22"/>
        </w:rPr>
        <w:t xml:space="preserve"> obligación se pague, expire, el acreedor renuncie a ella o </w:t>
      </w:r>
      <w:r w:rsidRPr="00A85FEA">
        <w:rPr>
          <w:rFonts w:cs="Arial"/>
          <w:szCs w:val="22"/>
        </w:rPr>
        <w:t xml:space="preserve"> </w:t>
      </w:r>
      <w:r w:rsidR="00F53AB1" w:rsidRPr="00A85FEA">
        <w:rPr>
          <w:rFonts w:cs="Arial"/>
          <w:szCs w:val="22"/>
        </w:rPr>
        <w:t xml:space="preserve">se transfiera a un tercero. </w:t>
      </w:r>
    </w:p>
    <w:p w14:paraId="64BC43DD" w14:textId="77777777" w:rsidR="00F53AB1" w:rsidRPr="00A85FEA" w:rsidRDefault="00F53AB1" w:rsidP="00EC4E0F">
      <w:pPr>
        <w:jc w:val="both"/>
        <w:rPr>
          <w:rFonts w:cs="Arial"/>
          <w:szCs w:val="22"/>
        </w:rPr>
      </w:pPr>
    </w:p>
    <w:p w14:paraId="2584714B" w14:textId="77777777" w:rsidR="00F53AB1" w:rsidRPr="00A85FEA" w:rsidRDefault="00F53AB1" w:rsidP="00EC4E0F">
      <w:pPr>
        <w:jc w:val="both"/>
        <w:rPr>
          <w:rFonts w:cs="Arial"/>
          <w:szCs w:val="22"/>
        </w:rPr>
      </w:pPr>
      <w:r w:rsidRPr="00A85FEA">
        <w:rPr>
          <w:rFonts w:cs="Arial"/>
          <w:szCs w:val="22"/>
        </w:rPr>
        <w:t xml:space="preserve">La diferencia entre el valor en libros de la cuenta por pagar que se da de baja y la contraprestación pagada, incluyendo cualquier activo transferido diferente del efectivo o pasivo asumido, se reconocerá como ingreso o gasto en el resultado del periodo. </w:t>
      </w:r>
    </w:p>
    <w:p w14:paraId="64FB1553" w14:textId="77777777" w:rsidR="00F53AB1" w:rsidRPr="00A85FEA" w:rsidRDefault="00F53AB1" w:rsidP="00EC4E0F">
      <w:pPr>
        <w:jc w:val="both"/>
        <w:rPr>
          <w:rFonts w:cs="Arial"/>
          <w:szCs w:val="22"/>
        </w:rPr>
      </w:pPr>
    </w:p>
    <w:p w14:paraId="0F6DEB25" w14:textId="77777777" w:rsidR="00F53AB1" w:rsidRPr="00A85FEA" w:rsidRDefault="00F53AB1" w:rsidP="00EC4E0F">
      <w:pPr>
        <w:jc w:val="both"/>
        <w:rPr>
          <w:rFonts w:cs="Arial"/>
          <w:szCs w:val="22"/>
        </w:rPr>
      </w:pPr>
      <w:r w:rsidRPr="00A85FEA">
        <w:rPr>
          <w:rFonts w:cs="Arial"/>
          <w:szCs w:val="22"/>
        </w:rPr>
        <w:t xml:space="preserve">Cuando el acreedor renuncie al derecho de cobro o un tercero asuma la obligación de pago, la entidad aplicará la Norma de ingresos de transacciones sin contraprestación. </w:t>
      </w:r>
    </w:p>
    <w:p w14:paraId="06E2A3B1" w14:textId="77777777" w:rsidR="00F53AB1" w:rsidRPr="00A85FEA" w:rsidRDefault="00F53AB1" w:rsidP="001422CA">
      <w:pPr>
        <w:pStyle w:val="Ttulo1"/>
        <w:rPr>
          <w:rFonts w:ascii="Arial" w:hAnsi="Arial" w:cs="Arial"/>
          <w:color w:val="auto"/>
          <w:sz w:val="22"/>
          <w:szCs w:val="22"/>
        </w:rPr>
      </w:pPr>
      <w:bookmarkStart w:id="156" w:name="_Toc525721452"/>
      <w:r w:rsidRPr="00A85FEA">
        <w:rPr>
          <w:rFonts w:ascii="Arial" w:hAnsi="Arial" w:cs="Arial"/>
          <w:color w:val="auto"/>
          <w:sz w:val="22"/>
          <w:szCs w:val="22"/>
        </w:rPr>
        <w:t>1.12. Revelaciones</w:t>
      </w:r>
      <w:bookmarkEnd w:id="156"/>
      <w:r w:rsidRPr="00A85FEA">
        <w:rPr>
          <w:rFonts w:ascii="Arial" w:hAnsi="Arial" w:cs="Arial"/>
          <w:color w:val="auto"/>
          <w:sz w:val="22"/>
          <w:szCs w:val="22"/>
        </w:rPr>
        <w:t xml:space="preserve"> </w:t>
      </w:r>
    </w:p>
    <w:p w14:paraId="3FAE6816" w14:textId="77777777" w:rsidR="00F53AB1" w:rsidRPr="00A85FEA" w:rsidRDefault="00F53AB1" w:rsidP="00D87929">
      <w:pPr>
        <w:rPr>
          <w:rFonts w:cs="Arial"/>
          <w:b/>
          <w:szCs w:val="22"/>
        </w:rPr>
      </w:pPr>
    </w:p>
    <w:p w14:paraId="20DBE2F8" w14:textId="77777777" w:rsidR="00F53AB1" w:rsidRPr="00A85FEA" w:rsidRDefault="00F53AB1" w:rsidP="00EC4E0F">
      <w:pPr>
        <w:jc w:val="both"/>
        <w:rPr>
          <w:rFonts w:cs="Arial"/>
          <w:szCs w:val="22"/>
        </w:rPr>
      </w:pPr>
      <w:r w:rsidRPr="00A85FEA">
        <w:rPr>
          <w:rFonts w:cs="Arial"/>
          <w:szCs w:val="22"/>
        </w:rPr>
        <w:t>La Corporación para el Desarrollo Sostenible del Norte y el Oriente Amazónico – CDA revelará la siguiente información:</w:t>
      </w:r>
    </w:p>
    <w:p w14:paraId="2E9F08CE" w14:textId="77777777" w:rsidR="00F53AB1" w:rsidRPr="00A85FEA" w:rsidRDefault="00F53AB1" w:rsidP="00EC4E0F">
      <w:pPr>
        <w:jc w:val="both"/>
        <w:rPr>
          <w:rFonts w:cs="Arial"/>
          <w:szCs w:val="22"/>
        </w:rPr>
      </w:pPr>
    </w:p>
    <w:p w14:paraId="26218FF8" w14:textId="77777777" w:rsidR="00F53AB1" w:rsidRPr="00A85FEA" w:rsidRDefault="00F53AB1" w:rsidP="00EC4E0F">
      <w:pPr>
        <w:jc w:val="both"/>
        <w:rPr>
          <w:rFonts w:cs="Arial"/>
          <w:szCs w:val="22"/>
        </w:rPr>
      </w:pPr>
      <w:r w:rsidRPr="00A85FEA">
        <w:rPr>
          <w:rFonts w:cs="Arial"/>
          <w:szCs w:val="22"/>
        </w:rPr>
        <w:t>valor en libros y plazos</w:t>
      </w:r>
    </w:p>
    <w:p w14:paraId="709CDB5B" w14:textId="77777777" w:rsidR="00F53AB1" w:rsidRPr="00A85FEA" w:rsidRDefault="00F53AB1" w:rsidP="00EC4E0F">
      <w:pPr>
        <w:jc w:val="both"/>
        <w:rPr>
          <w:rFonts w:cs="Arial"/>
          <w:szCs w:val="22"/>
        </w:rPr>
      </w:pPr>
      <w:r w:rsidRPr="00A85FEA">
        <w:rPr>
          <w:rFonts w:cs="Arial"/>
          <w:szCs w:val="22"/>
        </w:rPr>
        <w:t xml:space="preserve">Así mismo, revelará el valor de las cuentas por pagar que se hayan dado de baja por causas distintas a su pago. </w:t>
      </w:r>
    </w:p>
    <w:p w14:paraId="4C983016" w14:textId="77777777" w:rsidR="00F53AB1" w:rsidRPr="00A85FEA" w:rsidRDefault="00F53AB1" w:rsidP="00D87929">
      <w:pPr>
        <w:rPr>
          <w:rFonts w:cs="Arial"/>
          <w:szCs w:val="22"/>
          <w:highlight w:val="cyan"/>
        </w:rPr>
      </w:pPr>
    </w:p>
    <w:p w14:paraId="0579A9EA" w14:textId="77777777" w:rsidR="00F53AB1" w:rsidRPr="00A85FEA" w:rsidRDefault="00F53AB1" w:rsidP="001422CA">
      <w:pPr>
        <w:pStyle w:val="Ttulo1"/>
        <w:rPr>
          <w:rFonts w:ascii="Arial" w:hAnsi="Arial" w:cs="Arial"/>
          <w:color w:val="auto"/>
          <w:sz w:val="22"/>
          <w:szCs w:val="22"/>
        </w:rPr>
      </w:pPr>
      <w:bookmarkStart w:id="157" w:name="_Toc525721453"/>
      <w:r w:rsidRPr="00A85FEA">
        <w:rPr>
          <w:rFonts w:ascii="Arial" w:hAnsi="Arial" w:cs="Arial"/>
          <w:color w:val="auto"/>
          <w:sz w:val="22"/>
          <w:szCs w:val="22"/>
        </w:rPr>
        <w:t>2. POLITICA DE BENEFICIOS A LOS EMPLEADOS</w:t>
      </w:r>
      <w:bookmarkEnd w:id="157"/>
    </w:p>
    <w:p w14:paraId="27783B65" w14:textId="77777777" w:rsidR="00F53AB1" w:rsidRPr="00A85FEA" w:rsidRDefault="00F53AB1" w:rsidP="001422CA">
      <w:pPr>
        <w:pStyle w:val="Ttulo1"/>
        <w:rPr>
          <w:rFonts w:ascii="Arial" w:hAnsi="Arial" w:cs="Arial"/>
          <w:color w:val="auto"/>
          <w:sz w:val="22"/>
          <w:szCs w:val="22"/>
        </w:rPr>
      </w:pPr>
      <w:bookmarkStart w:id="158" w:name="_Toc525721454"/>
      <w:r w:rsidRPr="00A85FEA">
        <w:rPr>
          <w:rFonts w:ascii="Arial" w:hAnsi="Arial" w:cs="Arial"/>
          <w:color w:val="auto"/>
          <w:sz w:val="22"/>
          <w:szCs w:val="22"/>
        </w:rPr>
        <w:t>2.1. Objetivo</w:t>
      </w:r>
      <w:bookmarkEnd w:id="158"/>
    </w:p>
    <w:p w14:paraId="4A8B4CCF" w14:textId="77777777" w:rsidR="00F53AB1" w:rsidRPr="00A85FEA" w:rsidRDefault="00F53AB1" w:rsidP="00D87929">
      <w:pPr>
        <w:rPr>
          <w:rFonts w:cs="Arial"/>
          <w:szCs w:val="22"/>
        </w:rPr>
      </w:pPr>
    </w:p>
    <w:p w14:paraId="5D0E871A" w14:textId="77777777" w:rsidR="00F53AB1" w:rsidRPr="00A85FEA" w:rsidRDefault="00F53AB1" w:rsidP="001422CA">
      <w:pPr>
        <w:jc w:val="both"/>
        <w:rPr>
          <w:rFonts w:cs="Arial"/>
          <w:szCs w:val="22"/>
        </w:rPr>
      </w:pPr>
      <w:r w:rsidRPr="00A85FEA">
        <w:rPr>
          <w:rFonts w:cs="Arial"/>
          <w:szCs w:val="22"/>
        </w:rPr>
        <w:t>Establecer las bases contables para el reconocimiento, medición, presentación y revelación de los hechos económicos que corresponden a beneficios a los empleados.</w:t>
      </w:r>
    </w:p>
    <w:p w14:paraId="1161CB7D" w14:textId="77777777" w:rsidR="00F53AB1" w:rsidRPr="00A85FEA" w:rsidRDefault="00F53AB1" w:rsidP="001422CA">
      <w:pPr>
        <w:pStyle w:val="Ttulo1"/>
        <w:rPr>
          <w:rFonts w:ascii="Arial" w:hAnsi="Arial" w:cs="Arial"/>
          <w:color w:val="auto"/>
          <w:sz w:val="22"/>
          <w:szCs w:val="22"/>
        </w:rPr>
      </w:pPr>
      <w:bookmarkStart w:id="159" w:name="_Toc525721455"/>
      <w:r w:rsidRPr="00A85FEA">
        <w:rPr>
          <w:rFonts w:ascii="Arial" w:hAnsi="Arial" w:cs="Arial"/>
          <w:color w:val="auto"/>
          <w:sz w:val="22"/>
          <w:szCs w:val="22"/>
        </w:rPr>
        <w:t>2.2. Normatividad relacionada</w:t>
      </w:r>
      <w:bookmarkEnd w:id="159"/>
    </w:p>
    <w:p w14:paraId="6FC8221F" w14:textId="77777777" w:rsidR="00F53AB1" w:rsidRPr="00A85FEA" w:rsidRDefault="00F53AB1" w:rsidP="00D87929">
      <w:pPr>
        <w:rPr>
          <w:rFonts w:cs="Arial"/>
          <w:szCs w:val="22"/>
        </w:rPr>
      </w:pPr>
    </w:p>
    <w:p w14:paraId="6BD1E370" w14:textId="77777777" w:rsidR="00F53AB1" w:rsidRPr="00A85FEA" w:rsidRDefault="00F53AB1" w:rsidP="001422CA">
      <w:pPr>
        <w:jc w:val="both"/>
        <w:rPr>
          <w:rFonts w:cs="Arial"/>
          <w:szCs w:val="22"/>
        </w:rPr>
      </w:pPr>
      <w:r w:rsidRPr="00A85FEA">
        <w:rPr>
          <w:rFonts w:cs="Arial"/>
          <w:szCs w:val="22"/>
        </w:rPr>
        <w:t>Normas para el Reconocimiento, Medición, Revelación y Presentación de los Hechos Económicos de las entidades de Gobierno, Capítulo II. Pasivos, Numeral 5. Beneficios a los empleados.</w:t>
      </w:r>
    </w:p>
    <w:p w14:paraId="6E0F3A58" w14:textId="77777777" w:rsidR="00F53AB1" w:rsidRPr="00A85FEA" w:rsidRDefault="00F53AB1" w:rsidP="001422CA">
      <w:pPr>
        <w:pStyle w:val="Ttulo1"/>
        <w:rPr>
          <w:rFonts w:ascii="Arial" w:hAnsi="Arial" w:cs="Arial"/>
          <w:color w:val="auto"/>
          <w:sz w:val="22"/>
          <w:szCs w:val="22"/>
        </w:rPr>
      </w:pPr>
      <w:bookmarkStart w:id="160" w:name="_Toc525721456"/>
      <w:r w:rsidRPr="00A85FEA">
        <w:rPr>
          <w:rFonts w:ascii="Arial" w:hAnsi="Arial" w:cs="Arial"/>
          <w:color w:val="auto"/>
          <w:sz w:val="22"/>
          <w:szCs w:val="22"/>
        </w:rPr>
        <w:t>2.3. Alcance</w:t>
      </w:r>
      <w:bookmarkEnd w:id="160"/>
    </w:p>
    <w:p w14:paraId="593E2925" w14:textId="77777777" w:rsidR="00F53AB1" w:rsidRPr="00A85FEA" w:rsidRDefault="00F53AB1" w:rsidP="00D87929">
      <w:pPr>
        <w:rPr>
          <w:rFonts w:cs="Arial"/>
          <w:szCs w:val="22"/>
        </w:rPr>
      </w:pPr>
    </w:p>
    <w:p w14:paraId="40BD4EED" w14:textId="77777777" w:rsidR="00F53AB1" w:rsidRPr="00A85FEA" w:rsidRDefault="00F53AB1" w:rsidP="001422CA">
      <w:pPr>
        <w:jc w:val="both"/>
        <w:rPr>
          <w:rFonts w:cs="Arial"/>
          <w:szCs w:val="22"/>
        </w:rPr>
      </w:pPr>
      <w:r w:rsidRPr="00A85FEA">
        <w:rPr>
          <w:rFonts w:cs="Arial"/>
          <w:szCs w:val="22"/>
        </w:rPr>
        <w:lastRenderedPageBreak/>
        <w:t>Esta política aplica para las obligaciones que la Corporación para el Desarrollo Sostenible del Norte y el Oriente Amazónico – CDA tiene con sus empleados a corto plazo y abarca las siguientes cuentas:</w:t>
      </w:r>
    </w:p>
    <w:p w14:paraId="3989B5D0" w14:textId="77777777" w:rsidR="00F53AB1" w:rsidRPr="00A85FEA" w:rsidRDefault="00F53AB1" w:rsidP="00D87929">
      <w:pPr>
        <w:rPr>
          <w:rFonts w:cs="Arial"/>
          <w:szCs w:val="22"/>
        </w:rPr>
      </w:pPr>
    </w:p>
    <w:p w14:paraId="7310ACA0" w14:textId="77777777" w:rsidR="00F53AB1" w:rsidRPr="00A85FEA" w:rsidRDefault="00F53AB1" w:rsidP="001422CA">
      <w:pPr>
        <w:pStyle w:val="Ttulo1"/>
        <w:rPr>
          <w:rFonts w:ascii="Arial" w:hAnsi="Arial" w:cs="Arial"/>
          <w:color w:val="auto"/>
          <w:sz w:val="22"/>
          <w:szCs w:val="22"/>
        </w:rPr>
      </w:pPr>
      <w:bookmarkStart w:id="161" w:name="_Toc525721457"/>
      <w:r w:rsidRPr="00A85FEA">
        <w:rPr>
          <w:rFonts w:ascii="Arial" w:hAnsi="Arial" w:cs="Arial"/>
          <w:color w:val="auto"/>
          <w:sz w:val="22"/>
          <w:szCs w:val="22"/>
        </w:rPr>
        <w:t>2.4. Política contable general</w:t>
      </w:r>
      <w:bookmarkEnd w:id="161"/>
    </w:p>
    <w:p w14:paraId="61BB5B94" w14:textId="77777777" w:rsidR="00F53AB1" w:rsidRPr="00A85FEA" w:rsidRDefault="00F53AB1" w:rsidP="00D87929">
      <w:pPr>
        <w:rPr>
          <w:rFonts w:cs="Arial"/>
          <w:szCs w:val="22"/>
        </w:rPr>
      </w:pPr>
    </w:p>
    <w:p w14:paraId="6BB51481" w14:textId="77777777" w:rsidR="00F53AB1" w:rsidRPr="00A85FEA" w:rsidRDefault="00F53AB1" w:rsidP="001422CA">
      <w:pPr>
        <w:jc w:val="both"/>
        <w:rPr>
          <w:rFonts w:cs="Arial"/>
          <w:szCs w:val="22"/>
        </w:rPr>
      </w:pPr>
      <w:r w:rsidRPr="00A85FEA">
        <w:rPr>
          <w:rFonts w:cs="Arial"/>
          <w:szCs w:val="22"/>
        </w:rPr>
        <w:t>Los beneficios a los empleados comprenden todas las retribuciones que la Corporación para el Desarrollo Sostenible del Norte y el Oriente Amazónico – CDA proporciona a sus trabajadores a cambio de sus servicios. Las retribuciones suministradas a los empleados podrán originarse por lo siguiente: a) acuerdos formales, legalmente exigibles, celebrados entre la entidad y sus empleados; b) requerimientos legales en virtud de los cuales la entidad se obliga a efectuar aportes o asumir obligaciones.</w:t>
      </w:r>
    </w:p>
    <w:p w14:paraId="1CE08D9B" w14:textId="77777777" w:rsidR="00F53AB1" w:rsidRPr="00A85FEA" w:rsidRDefault="00F53AB1" w:rsidP="001422CA">
      <w:pPr>
        <w:pStyle w:val="Ttulo1"/>
        <w:rPr>
          <w:rFonts w:ascii="Arial" w:hAnsi="Arial" w:cs="Arial"/>
          <w:color w:val="auto"/>
          <w:sz w:val="22"/>
          <w:szCs w:val="22"/>
        </w:rPr>
      </w:pPr>
      <w:bookmarkStart w:id="162" w:name="_Toc525721458"/>
      <w:r w:rsidRPr="00A85FEA">
        <w:rPr>
          <w:rFonts w:ascii="Arial" w:hAnsi="Arial" w:cs="Arial"/>
          <w:color w:val="auto"/>
          <w:sz w:val="22"/>
          <w:szCs w:val="22"/>
        </w:rPr>
        <w:t>2.5. Reconocimiento</w:t>
      </w:r>
      <w:bookmarkEnd w:id="162"/>
    </w:p>
    <w:p w14:paraId="6DA526C8" w14:textId="77777777" w:rsidR="00F53AB1" w:rsidRPr="00A85FEA" w:rsidRDefault="00F53AB1" w:rsidP="00D87929">
      <w:pPr>
        <w:rPr>
          <w:rFonts w:cs="Arial"/>
          <w:szCs w:val="22"/>
        </w:rPr>
      </w:pPr>
    </w:p>
    <w:p w14:paraId="73CDBEB0" w14:textId="77777777" w:rsidR="00F53AB1" w:rsidRPr="00A85FEA" w:rsidRDefault="00F53AB1" w:rsidP="001422CA">
      <w:pPr>
        <w:jc w:val="both"/>
        <w:rPr>
          <w:rFonts w:cs="Arial"/>
          <w:szCs w:val="22"/>
        </w:rPr>
      </w:pPr>
      <w:r w:rsidRPr="00A85FEA">
        <w:rPr>
          <w:rFonts w:cs="Arial"/>
          <w:szCs w:val="22"/>
        </w:rPr>
        <w:t xml:space="preserve">Se reconocerán como beneficios a los empleados a corto plazo, aquellos otorgados a los empleados que hayan prestado sus servicios a la Corporación para el Desarrollo Sostenible del Norte y el Oriente Amazónico – CDA durante el periodo contable y cuya obligación de pago venza dentro de los 12 meses siguientes al cierre de dicho periodo. Hacen parte de tales beneficios, los sueldos, prestaciones sociales y aportes a la seguridad social; los incentivos pagados y los beneficios no monetarios, entre otros. </w:t>
      </w:r>
    </w:p>
    <w:p w14:paraId="371965D7" w14:textId="77777777" w:rsidR="00F53AB1" w:rsidRPr="00A85FEA" w:rsidRDefault="00F53AB1" w:rsidP="001422CA">
      <w:pPr>
        <w:jc w:val="both"/>
        <w:rPr>
          <w:rFonts w:cs="Arial"/>
          <w:szCs w:val="22"/>
        </w:rPr>
      </w:pPr>
    </w:p>
    <w:p w14:paraId="6464C557" w14:textId="77777777" w:rsidR="00F53AB1" w:rsidRPr="00A85FEA" w:rsidRDefault="00F53AB1" w:rsidP="001422CA">
      <w:pPr>
        <w:jc w:val="both"/>
        <w:rPr>
          <w:rFonts w:cs="Arial"/>
          <w:szCs w:val="22"/>
        </w:rPr>
      </w:pPr>
      <w:r w:rsidRPr="00A85FEA">
        <w:rPr>
          <w:rFonts w:cs="Arial"/>
          <w:szCs w:val="22"/>
        </w:rPr>
        <w:t xml:space="preserve">Los beneficios a los empleados a corto plazo se reconocerán como un gasto o costo y como un pasivo cuando la entidad consuma el beneficio económico o el potencial de servicio procedente del servicio prestado por el empleado a cambio de los beneficios otorgados. Los beneficios a empleados a corto plazo que no se paguen mensualmente se reconocerán en cada mes por el valor de la alícuota correspondiente al porcentaje del servicio prestado durante el mes. </w:t>
      </w:r>
    </w:p>
    <w:p w14:paraId="08F38B73" w14:textId="77777777" w:rsidR="00F53AB1" w:rsidRPr="00A85FEA" w:rsidRDefault="00F53AB1" w:rsidP="001422CA">
      <w:pPr>
        <w:pStyle w:val="Ttulo1"/>
        <w:rPr>
          <w:rFonts w:ascii="Arial" w:hAnsi="Arial" w:cs="Arial"/>
          <w:color w:val="auto"/>
          <w:sz w:val="22"/>
          <w:szCs w:val="22"/>
        </w:rPr>
      </w:pPr>
      <w:bookmarkStart w:id="163" w:name="_Toc525721459"/>
      <w:r w:rsidRPr="00A85FEA">
        <w:rPr>
          <w:rFonts w:ascii="Arial" w:hAnsi="Arial" w:cs="Arial"/>
          <w:color w:val="auto"/>
          <w:sz w:val="22"/>
          <w:szCs w:val="22"/>
        </w:rPr>
        <w:t>2.6. Medición</w:t>
      </w:r>
      <w:bookmarkEnd w:id="163"/>
      <w:r w:rsidRPr="00A85FEA">
        <w:rPr>
          <w:rFonts w:ascii="Arial" w:hAnsi="Arial" w:cs="Arial"/>
          <w:color w:val="auto"/>
          <w:sz w:val="22"/>
          <w:szCs w:val="22"/>
        </w:rPr>
        <w:t xml:space="preserve"> </w:t>
      </w:r>
    </w:p>
    <w:p w14:paraId="02398363" w14:textId="77777777" w:rsidR="00F53AB1" w:rsidRPr="00A85FEA" w:rsidRDefault="00F53AB1" w:rsidP="00D87929">
      <w:pPr>
        <w:rPr>
          <w:rFonts w:cs="Arial"/>
          <w:szCs w:val="22"/>
        </w:rPr>
      </w:pPr>
    </w:p>
    <w:p w14:paraId="737220D0" w14:textId="77777777" w:rsidR="00F53AB1" w:rsidRPr="00A85FEA" w:rsidRDefault="00F53AB1" w:rsidP="001422CA">
      <w:pPr>
        <w:jc w:val="both"/>
        <w:rPr>
          <w:rFonts w:cs="Arial"/>
          <w:szCs w:val="22"/>
        </w:rPr>
      </w:pPr>
      <w:r w:rsidRPr="00A85FEA">
        <w:rPr>
          <w:rFonts w:cs="Arial"/>
          <w:szCs w:val="22"/>
        </w:rPr>
        <w:t xml:space="preserve">El pasivo por beneficios a los empleados a corto plazo se medirá por el valor de la obligación derivada de los beneficios definidos al final del periodo contable, después de deducir cualquier pago anticipado si lo hubiera. </w:t>
      </w:r>
    </w:p>
    <w:p w14:paraId="7C61C013" w14:textId="77777777" w:rsidR="00F53AB1" w:rsidRPr="00A85FEA" w:rsidRDefault="00F53AB1" w:rsidP="001422CA">
      <w:pPr>
        <w:pStyle w:val="Ttulo1"/>
        <w:rPr>
          <w:rFonts w:ascii="Arial" w:hAnsi="Arial" w:cs="Arial"/>
          <w:color w:val="auto"/>
          <w:sz w:val="22"/>
          <w:szCs w:val="22"/>
        </w:rPr>
      </w:pPr>
      <w:bookmarkStart w:id="164" w:name="_Toc525721460"/>
      <w:r w:rsidRPr="00A85FEA">
        <w:rPr>
          <w:rFonts w:ascii="Arial" w:hAnsi="Arial" w:cs="Arial"/>
          <w:color w:val="auto"/>
          <w:sz w:val="22"/>
          <w:szCs w:val="22"/>
        </w:rPr>
        <w:t>2.7. Gestión de riesgo</w:t>
      </w:r>
      <w:bookmarkEnd w:id="164"/>
    </w:p>
    <w:p w14:paraId="4D129B0D" w14:textId="77777777" w:rsidR="00F53AB1" w:rsidRPr="00A85FEA" w:rsidRDefault="00F53AB1" w:rsidP="00D87929">
      <w:pPr>
        <w:rPr>
          <w:rFonts w:cs="Arial"/>
          <w:szCs w:val="22"/>
        </w:rPr>
      </w:pPr>
    </w:p>
    <w:p w14:paraId="5DD32F31" w14:textId="77777777" w:rsidR="00F53AB1" w:rsidRPr="00A85FEA" w:rsidRDefault="00F53AB1" w:rsidP="00D87929">
      <w:pPr>
        <w:rPr>
          <w:rFonts w:cs="Arial"/>
          <w:szCs w:val="22"/>
        </w:rPr>
      </w:pPr>
      <w:r w:rsidRPr="00A85FEA">
        <w:rPr>
          <w:rFonts w:cs="Arial"/>
          <w:szCs w:val="22"/>
        </w:rPr>
        <w:t>Demandas laborales</w:t>
      </w:r>
    </w:p>
    <w:p w14:paraId="09C6531B" w14:textId="77777777" w:rsidR="00F53AB1" w:rsidRPr="00A85FEA" w:rsidRDefault="00F53AB1" w:rsidP="001422CA">
      <w:pPr>
        <w:pStyle w:val="Ttulo1"/>
        <w:rPr>
          <w:rFonts w:ascii="Arial" w:hAnsi="Arial" w:cs="Arial"/>
          <w:color w:val="auto"/>
          <w:sz w:val="22"/>
          <w:szCs w:val="22"/>
        </w:rPr>
      </w:pPr>
      <w:bookmarkStart w:id="165" w:name="_Toc525721461"/>
      <w:r w:rsidRPr="00A85FEA">
        <w:rPr>
          <w:rFonts w:ascii="Arial" w:hAnsi="Arial" w:cs="Arial"/>
          <w:color w:val="auto"/>
          <w:sz w:val="22"/>
          <w:szCs w:val="22"/>
        </w:rPr>
        <w:lastRenderedPageBreak/>
        <w:t>2.8. Controles contables</w:t>
      </w:r>
      <w:bookmarkEnd w:id="165"/>
    </w:p>
    <w:p w14:paraId="186EE04B" w14:textId="77777777" w:rsidR="00F53AB1" w:rsidRPr="00A85FEA" w:rsidRDefault="00F53AB1" w:rsidP="00D87929">
      <w:pPr>
        <w:rPr>
          <w:rFonts w:cs="Arial"/>
          <w:szCs w:val="22"/>
        </w:rPr>
      </w:pPr>
    </w:p>
    <w:p w14:paraId="709F5A89" w14:textId="77777777" w:rsidR="00F53AB1" w:rsidRPr="00A85FEA" w:rsidRDefault="00F53AB1" w:rsidP="001422CA">
      <w:pPr>
        <w:jc w:val="both"/>
        <w:rPr>
          <w:rFonts w:cs="Arial"/>
          <w:szCs w:val="22"/>
        </w:rPr>
      </w:pPr>
      <w:r w:rsidRPr="00A85FEA">
        <w:rPr>
          <w:rFonts w:cs="Arial"/>
          <w:szCs w:val="22"/>
        </w:rPr>
        <w:t xml:space="preserve">Causar mensualmente las obligaciones que la Corporación para el Desarrollo Sostenible del Norte y el Oriente Amazónico – CDA tiene frente a sus empleados, como son: </w:t>
      </w:r>
    </w:p>
    <w:p w14:paraId="2C6129F0" w14:textId="77777777" w:rsidR="00F53AB1" w:rsidRPr="00A85FEA" w:rsidRDefault="00F53AB1" w:rsidP="001422CA">
      <w:pPr>
        <w:jc w:val="both"/>
        <w:rPr>
          <w:rFonts w:cs="Arial"/>
          <w:szCs w:val="22"/>
        </w:rPr>
      </w:pPr>
      <w:r w:rsidRPr="00A85FEA">
        <w:rPr>
          <w:rFonts w:cs="Arial"/>
          <w:szCs w:val="22"/>
        </w:rPr>
        <w:t>Cesantías</w:t>
      </w:r>
    </w:p>
    <w:p w14:paraId="2692B2E2" w14:textId="77777777" w:rsidR="00F53AB1" w:rsidRPr="00A85FEA" w:rsidRDefault="00F53AB1" w:rsidP="001422CA">
      <w:pPr>
        <w:jc w:val="both"/>
        <w:rPr>
          <w:rFonts w:cs="Arial"/>
          <w:szCs w:val="22"/>
        </w:rPr>
      </w:pPr>
      <w:r w:rsidRPr="00A85FEA">
        <w:rPr>
          <w:rFonts w:cs="Arial"/>
          <w:szCs w:val="22"/>
        </w:rPr>
        <w:t xml:space="preserve">Intereses a las cesantías </w:t>
      </w:r>
    </w:p>
    <w:p w14:paraId="64E541A5" w14:textId="77777777" w:rsidR="00F53AB1" w:rsidRPr="00A85FEA" w:rsidRDefault="00F53AB1" w:rsidP="00D87929">
      <w:pPr>
        <w:rPr>
          <w:rFonts w:cs="Arial"/>
          <w:szCs w:val="22"/>
        </w:rPr>
      </w:pPr>
      <w:r w:rsidRPr="00A85FEA">
        <w:rPr>
          <w:rFonts w:cs="Arial"/>
          <w:szCs w:val="22"/>
        </w:rPr>
        <w:t>Primas</w:t>
      </w:r>
    </w:p>
    <w:p w14:paraId="4A1443F6" w14:textId="77777777" w:rsidR="00F53AB1" w:rsidRPr="00A85FEA" w:rsidRDefault="00F53AB1" w:rsidP="00D87929">
      <w:pPr>
        <w:rPr>
          <w:rFonts w:cs="Arial"/>
          <w:szCs w:val="22"/>
        </w:rPr>
      </w:pPr>
      <w:r w:rsidRPr="00A85FEA">
        <w:rPr>
          <w:rFonts w:cs="Arial"/>
          <w:szCs w:val="22"/>
        </w:rPr>
        <w:t>Vacaciones</w:t>
      </w:r>
    </w:p>
    <w:p w14:paraId="06801939" w14:textId="77777777" w:rsidR="00F53AB1" w:rsidRPr="00A85FEA" w:rsidRDefault="00F53AB1" w:rsidP="00D87929">
      <w:pPr>
        <w:rPr>
          <w:rFonts w:cs="Arial"/>
          <w:szCs w:val="22"/>
        </w:rPr>
      </w:pPr>
      <w:r w:rsidRPr="00A85FEA">
        <w:rPr>
          <w:rFonts w:cs="Arial"/>
          <w:szCs w:val="22"/>
        </w:rPr>
        <w:t xml:space="preserve">Bonificaciones y </w:t>
      </w:r>
    </w:p>
    <w:p w14:paraId="7B5465E9" w14:textId="77777777" w:rsidR="00F53AB1" w:rsidRPr="00A85FEA" w:rsidRDefault="00F53AB1" w:rsidP="00D87929">
      <w:pPr>
        <w:rPr>
          <w:rFonts w:cs="Arial"/>
          <w:szCs w:val="22"/>
        </w:rPr>
      </w:pPr>
      <w:r w:rsidRPr="00A85FEA">
        <w:rPr>
          <w:rFonts w:cs="Arial"/>
          <w:szCs w:val="22"/>
        </w:rPr>
        <w:t>Los aportes a fondos de pensiones</w:t>
      </w:r>
    </w:p>
    <w:p w14:paraId="6FD6A369" w14:textId="77777777" w:rsidR="00F53AB1" w:rsidRPr="00A85FEA" w:rsidRDefault="00F53AB1" w:rsidP="001422CA">
      <w:pPr>
        <w:pStyle w:val="Ttulo1"/>
        <w:rPr>
          <w:rFonts w:ascii="Arial" w:hAnsi="Arial" w:cs="Arial"/>
          <w:color w:val="auto"/>
          <w:sz w:val="22"/>
          <w:szCs w:val="22"/>
        </w:rPr>
      </w:pPr>
      <w:bookmarkStart w:id="166" w:name="_Toc525721462"/>
      <w:r w:rsidRPr="00A85FEA">
        <w:rPr>
          <w:rFonts w:ascii="Arial" w:hAnsi="Arial" w:cs="Arial"/>
          <w:color w:val="auto"/>
          <w:sz w:val="22"/>
          <w:szCs w:val="22"/>
        </w:rPr>
        <w:t>2.9. Revelaciones</w:t>
      </w:r>
      <w:bookmarkEnd w:id="166"/>
      <w:r w:rsidRPr="00A85FEA">
        <w:rPr>
          <w:rFonts w:ascii="Arial" w:hAnsi="Arial" w:cs="Arial"/>
          <w:color w:val="auto"/>
          <w:sz w:val="22"/>
          <w:szCs w:val="22"/>
        </w:rPr>
        <w:t xml:space="preserve"> </w:t>
      </w:r>
    </w:p>
    <w:p w14:paraId="1847F872" w14:textId="77777777" w:rsidR="00F53AB1" w:rsidRPr="00A85FEA" w:rsidRDefault="00F53AB1" w:rsidP="001422CA">
      <w:pPr>
        <w:jc w:val="both"/>
        <w:rPr>
          <w:rFonts w:cs="Arial"/>
          <w:szCs w:val="22"/>
        </w:rPr>
      </w:pPr>
    </w:p>
    <w:p w14:paraId="1C12E64A" w14:textId="77777777" w:rsidR="00F53AB1" w:rsidRPr="00A85FEA" w:rsidRDefault="00F53AB1" w:rsidP="001422CA">
      <w:pPr>
        <w:jc w:val="both"/>
        <w:rPr>
          <w:rFonts w:cs="Arial"/>
          <w:szCs w:val="22"/>
        </w:rPr>
      </w:pPr>
      <w:r w:rsidRPr="00A85FEA">
        <w:rPr>
          <w:rFonts w:cs="Arial"/>
          <w:szCs w:val="22"/>
        </w:rPr>
        <w:t xml:space="preserve">La Corporación para el Desarrollo Sostenible del Norte y el Oriente Amazónico – CDA revelará, como mínimo, la siguiente información sobre beneficios a los empleados a corto plazo: </w:t>
      </w:r>
    </w:p>
    <w:p w14:paraId="1C195331" w14:textId="77777777" w:rsidR="00F53AB1" w:rsidRPr="00A85FEA" w:rsidRDefault="00F53AB1" w:rsidP="001422CA">
      <w:pPr>
        <w:jc w:val="both"/>
        <w:rPr>
          <w:rFonts w:cs="Arial"/>
          <w:szCs w:val="22"/>
        </w:rPr>
      </w:pPr>
    </w:p>
    <w:p w14:paraId="12993C05" w14:textId="77777777" w:rsidR="00F53AB1" w:rsidRPr="00A85FEA" w:rsidRDefault="00607B87" w:rsidP="001422CA">
      <w:pPr>
        <w:jc w:val="both"/>
        <w:rPr>
          <w:rFonts w:cs="Arial"/>
          <w:szCs w:val="22"/>
        </w:rPr>
      </w:pPr>
      <w:r>
        <w:rPr>
          <w:rFonts w:cs="Arial"/>
          <w:szCs w:val="22"/>
        </w:rPr>
        <w:t>L</w:t>
      </w:r>
      <w:r w:rsidR="00F53AB1" w:rsidRPr="00A85FEA">
        <w:rPr>
          <w:rFonts w:cs="Arial"/>
          <w:szCs w:val="22"/>
        </w:rPr>
        <w:t>a naturaleza de los beneficios a corto plazo; y la cuantía de la obligación y el nivel de financiación al finalizar el periodo contable.</w:t>
      </w:r>
    </w:p>
    <w:p w14:paraId="1BA04EA8" w14:textId="77777777" w:rsidR="00F53AB1" w:rsidRPr="00A85FEA" w:rsidRDefault="00F53AB1" w:rsidP="001422CA">
      <w:pPr>
        <w:pStyle w:val="Ttulo1"/>
        <w:rPr>
          <w:rFonts w:ascii="Arial" w:hAnsi="Arial" w:cs="Arial"/>
          <w:color w:val="auto"/>
          <w:sz w:val="22"/>
          <w:szCs w:val="22"/>
        </w:rPr>
      </w:pPr>
      <w:bookmarkStart w:id="167" w:name="_Toc525721463"/>
      <w:r w:rsidRPr="00A85FEA">
        <w:rPr>
          <w:rFonts w:ascii="Arial" w:hAnsi="Arial" w:cs="Arial"/>
          <w:color w:val="auto"/>
          <w:sz w:val="22"/>
          <w:szCs w:val="22"/>
        </w:rPr>
        <w:t>3. PROVISIONES</w:t>
      </w:r>
      <w:bookmarkEnd w:id="167"/>
    </w:p>
    <w:p w14:paraId="6FF63767" w14:textId="77777777" w:rsidR="00F53AB1" w:rsidRPr="00A85FEA" w:rsidRDefault="00F53AB1" w:rsidP="001422CA">
      <w:pPr>
        <w:pStyle w:val="Ttulo1"/>
        <w:rPr>
          <w:rFonts w:ascii="Arial" w:hAnsi="Arial" w:cs="Arial"/>
          <w:color w:val="auto"/>
          <w:sz w:val="22"/>
          <w:szCs w:val="22"/>
        </w:rPr>
      </w:pPr>
      <w:bookmarkStart w:id="168" w:name="_Toc525721464"/>
      <w:r w:rsidRPr="00A85FEA">
        <w:rPr>
          <w:rFonts w:ascii="Arial" w:hAnsi="Arial" w:cs="Arial"/>
          <w:color w:val="auto"/>
          <w:sz w:val="22"/>
          <w:szCs w:val="22"/>
        </w:rPr>
        <w:t>3.1. Objetivo</w:t>
      </w:r>
      <w:bookmarkEnd w:id="168"/>
    </w:p>
    <w:p w14:paraId="53B86958" w14:textId="77777777" w:rsidR="00F53AB1" w:rsidRPr="00A85FEA" w:rsidRDefault="00F53AB1" w:rsidP="00D87929">
      <w:pPr>
        <w:rPr>
          <w:rFonts w:cs="Arial"/>
          <w:bCs/>
          <w:iCs/>
          <w:szCs w:val="22"/>
        </w:rPr>
      </w:pPr>
    </w:p>
    <w:p w14:paraId="64AE49C8" w14:textId="77777777" w:rsidR="00F53AB1" w:rsidRPr="00A85FEA" w:rsidRDefault="00F53AB1" w:rsidP="001422CA">
      <w:pPr>
        <w:jc w:val="both"/>
        <w:rPr>
          <w:rFonts w:cs="Arial"/>
          <w:szCs w:val="22"/>
        </w:rPr>
      </w:pPr>
      <w:r w:rsidRPr="00A85FEA">
        <w:rPr>
          <w:rFonts w:cs="Arial"/>
          <w:bCs/>
          <w:iCs/>
          <w:szCs w:val="22"/>
        </w:rPr>
        <w:t xml:space="preserve">Establecer los lineamientos para el reconocimiento, medición, presentación y revelación de las obligaciones a cargo de </w:t>
      </w:r>
      <w:r w:rsidRPr="00A85FEA">
        <w:rPr>
          <w:rFonts w:cs="Arial"/>
          <w:szCs w:val="22"/>
        </w:rPr>
        <w:t>la Corporación para el Desarrollo Sostenible del Norte y el Oriente Amazónico – CDA que se encuentran sujetas a incertidumbre en cuanto a la cuantía y al vencimiento.</w:t>
      </w:r>
    </w:p>
    <w:p w14:paraId="0D515E51" w14:textId="77777777" w:rsidR="00F53AB1" w:rsidRPr="00A85FEA" w:rsidRDefault="00F53AB1" w:rsidP="001422CA">
      <w:pPr>
        <w:pStyle w:val="Ttulo1"/>
        <w:rPr>
          <w:rFonts w:ascii="Arial" w:hAnsi="Arial" w:cs="Arial"/>
          <w:color w:val="auto"/>
          <w:sz w:val="22"/>
          <w:szCs w:val="22"/>
        </w:rPr>
      </w:pPr>
      <w:bookmarkStart w:id="169" w:name="_Toc525721465"/>
      <w:r w:rsidRPr="00A85FEA">
        <w:rPr>
          <w:rFonts w:ascii="Arial" w:hAnsi="Arial" w:cs="Arial"/>
          <w:color w:val="auto"/>
          <w:sz w:val="22"/>
          <w:szCs w:val="22"/>
        </w:rPr>
        <w:t>3.2. Normatividad relacionada</w:t>
      </w:r>
      <w:bookmarkEnd w:id="169"/>
    </w:p>
    <w:p w14:paraId="059C090B" w14:textId="77777777" w:rsidR="00F53AB1" w:rsidRPr="00A85FEA" w:rsidRDefault="00F53AB1" w:rsidP="00D87929">
      <w:pPr>
        <w:rPr>
          <w:rFonts w:cs="Arial"/>
          <w:szCs w:val="22"/>
        </w:rPr>
      </w:pPr>
    </w:p>
    <w:p w14:paraId="4E13A6A3" w14:textId="77777777" w:rsidR="00F53AB1" w:rsidRPr="00A85FEA" w:rsidRDefault="00F53AB1" w:rsidP="00607B87">
      <w:pPr>
        <w:jc w:val="both"/>
        <w:rPr>
          <w:rFonts w:cs="Arial"/>
          <w:szCs w:val="22"/>
        </w:rPr>
      </w:pPr>
      <w:r w:rsidRPr="00A85FEA">
        <w:rPr>
          <w:rFonts w:cs="Arial"/>
          <w:szCs w:val="22"/>
        </w:rPr>
        <w:t>Normas para el Reconocimiento, Medición, Revelación y Presentación de los Hechos Económicos de las entidades de Gobierno, Capítulo II. Pasivos, Numeral 6. Provisiones.</w:t>
      </w:r>
    </w:p>
    <w:p w14:paraId="62ECAB88" w14:textId="77777777" w:rsidR="00F53AB1" w:rsidRPr="00A85FEA" w:rsidRDefault="00F53AB1" w:rsidP="00607B87">
      <w:pPr>
        <w:jc w:val="both"/>
        <w:rPr>
          <w:rFonts w:cs="Arial"/>
          <w:szCs w:val="22"/>
        </w:rPr>
      </w:pPr>
      <w:r w:rsidRPr="00A85FEA">
        <w:rPr>
          <w:rFonts w:cs="Arial"/>
          <w:szCs w:val="22"/>
        </w:rPr>
        <w:t>Catálogo General de Cuentas para Entidades de Gobierno, Cuenta 27 Provisiones.</w:t>
      </w:r>
    </w:p>
    <w:p w14:paraId="2C7D64F6" w14:textId="77777777" w:rsidR="00FC5C4A" w:rsidRDefault="00FC5C4A" w:rsidP="001422CA">
      <w:pPr>
        <w:pStyle w:val="Ttulo1"/>
        <w:rPr>
          <w:rFonts w:ascii="Arial" w:hAnsi="Arial" w:cs="Arial"/>
          <w:color w:val="auto"/>
          <w:sz w:val="22"/>
          <w:szCs w:val="22"/>
        </w:rPr>
      </w:pPr>
    </w:p>
    <w:p w14:paraId="61970210" w14:textId="77777777" w:rsidR="00F53AB1" w:rsidRPr="00A85FEA" w:rsidRDefault="00F53AB1" w:rsidP="001422CA">
      <w:pPr>
        <w:pStyle w:val="Ttulo1"/>
        <w:rPr>
          <w:rFonts w:ascii="Arial" w:hAnsi="Arial" w:cs="Arial"/>
          <w:color w:val="auto"/>
          <w:sz w:val="22"/>
          <w:szCs w:val="22"/>
        </w:rPr>
      </w:pPr>
      <w:bookmarkStart w:id="170" w:name="_Toc525721466"/>
      <w:r w:rsidRPr="00A85FEA">
        <w:rPr>
          <w:rFonts w:ascii="Arial" w:hAnsi="Arial" w:cs="Arial"/>
          <w:color w:val="auto"/>
          <w:sz w:val="22"/>
          <w:szCs w:val="22"/>
        </w:rPr>
        <w:t>3.3. Alcance</w:t>
      </w:r>
      <w:bookmarkEnd w:id="170"/>
    </w:p>
    <w:p w14:paraId="793711B3" w14:textId="77777777" w:rsidR="00F53AB1" w:rsidRPr="00A85FEA" w:rsidRDefault="00F53AB1" w:rsidP="00D87929">
      <w:pPr>
        <w:rPr>
          <w:rFonts w:cs="Arial"/>
          <w:szCs w:val="22"/>
        </w:rPr>
      </w:pPr>
    </w:p>
    <w:p w14:paraId="50AF03D3" w14:textId="77777777" w:rsidR="00F53AB1" w:rsidRPr="00A85FEA" w:rsidRDefault="00F53AB1" w:rsidP="001422CA">
      <w:pPr>
        <w:jc w:val="both"/>
        <w:rPr>
          <w:rFonts w:cs="Arial"/>
          <w:szCs w:val="22"/>
        </w:rPr>
      </w:pPr>
      <w:r w:rsidRPr="00A85FEA">
        <w:rPr>
          <w:rFonts w:cs="Arial"/>
          <w:szCs w:val="22"/>
        </w:rPr>
        <w:t>Esta política aplica para las obligaciones que la Corporación para el Desarrollo Sostenible del Norte y el Oriente Amazónico – CDA tiene respecto de litigios y demandas y Provisiones diversas; abarca las siguientes cuentas:</w:t>
      </w:r>
    </w:p>
    <w:p w14:paraId="6532A2F9" w14:textId="77777777" w:rsidR="00F53AB1" w:rsidRPr="00A85FEA" w:rsidRDefault="00F53AB1" w:rsidP="001422CA">
      <w:pPr>
        <w:jc w:val="both"/>
        <w:rPr>
          <w:rFonts w:cs="Arial"/>
          <w:szCs w:val="22"/>
        </w:rPr>
      </w:pPr>
    </w:p>
    <w:p w14:paraId="62A304D2" w14:textId="77777777" w:rsidR="00F53AB1" w:rsidRPr="00A85FEA" w:rsidRDefault="00F53AB1" w:rsidP="001422CA">
      <w:pPr>
        <w:jc w:val="both"/>
        <w:rPr>
          <w:rFonts w:cs="Arial"/>
          <w:szCs w:val="22"/>
        </w:rPr>
      </w:pPr>
      <w:r w:rsidRPr="00A85FEA">
        <w:rPr>
          <w:rFonts w:cs="Arial"/>
          <w:szCs w:val="22"/>
        </w:rPr>
        <w:t>Litigios y demandas</w:t>
      </w:r>
    </w:p>
    <w:p w14:paraId="22FCC861" w14:textId="77777777" w:rsidR="00F53AB1" w:rsidRPr="00A85FEA" w:rsidRDefault="00F53AB1" w:rsidP="001422CA">
      <w:pPr>
        <w:jc w:val="both"/>
        <w:rPr>
          <w:rFonts w:cs="Arial"/>
          <w:szCs w:val="22"/>
        </w:rPr>
      </w:pPr>
      <w:r w:rsidRPr="00A85FEA">
        <w:rPr>
          <w:rFonts w:cs="Arial"/>
          <w:szCs w:val="22"/>
        </w:rPr>
        <w:t>Civiles</w:t>
      </w:r>
    </w:p>
    <w:p w14:paraId="569FEDC7" w14:textId="77777777" w:rsidR="00F53AB1" w:rsidRPr="00A85FEA" w:rsidRDefault="00F53AB1" w:rsidP="001422CA">
      <w:pPr>
        <w:jc w:val="both"/>
        <w:rPr>
          <w:rFonts w:cs="Arial"/>
          <w:szCs w:val="22"/>
        </w:rPr>
      </w:pPr>
      <w:r w:rsidRPr="00A85FEA">
        <w:rPr>
          <w:rFonts w:cs="Arial"/>
          <w:szCs w:val="22"/>
        </w:rPr>
        <w:t>Penales</w:t>
      </w:r>
    </w:p>
    <w:p w14:paraId="5071E281" w14:textId="77777777" w:rsidR="00F53AB1" w:rsidRPr="00A85FEA" w:rsidRDefault="00F53AB1" w:rsidP="001422CA">
      <w:pPr>
        <w:jc w:val="both"/>
        <w:rPr>
          <w:rFonts w:cs="Arial"/>
          <w:szCs w:val="22"/>
        </w:rPr>
      </w:pPr>
      <w:r w:rsidRPr="00A85FEA">
        <w:rPr>
          <w:rFonts w:cs="Arial"/>
          <w:szCs w:val="22"/>
        </w:rPr>
        <w:t>Administrativas</w:t>
      </w:r>
    </w:p>
    <w:p w14:paraId="3C0B4854" w14:textId="77777777" w:rsidR="00F53AB1" w:rsidRPr="00A85FEA" w:rsidRDefault="00F53AB1" w:rsidP="001422CA">
      <w:pPr>
        <w:jc w:val="both"/>
        <w:rPr>
          <w:rFonts w:cs="Arial"/>
          <w:szCs w:val="22"/>
        </w:rPr>
      </w:pPr>
      <w:r w:rsidRPr="00A85FEA">
        <w:rPr>
          <w:rFonts w:cs="Arial"/>
          <w:szCs w:val="22"/>
        </w:rPr>
        <w:t>Laborales</w:t>
      </w:r>
    </w:p>
    <w:p w14:paraId="17E293B6" w14:textId="77777777" w:rsidR="00F53AB1" w:rsidRPr="00A85FEA" w:rsidRDefault="00F53AB1" w:rsidP="001422CA">
      <w:pPr>
        <w:jc w:val="both"/>
        <w:rPr>
          <w:rFonts w:cs="Arial"/>
          <w:szCs w:val="22"/>
        </w:rPr>
      </w:pPr>
      <w:r w:rsidRPr="00A85FEA">
        <w:rPr>
          <w:rFonts w:cs="Arial"/>
          <w:szCs w:val="22"/>
        </w:rPr>
        <w:t>Otros litigios y demandas</w:t>
      </w:r>
    </w:p>
    <w:p w14:paraId="6A4974BF" w14:textId="77777777" w:rsidR="00F53AB1" w:rsidRPr="00A85FEA" w:rsidRDefault="00F53AB1" w:rsidP="001422CA">
      <w:pPr>
        <w:jc w:val="both"/>
        <w:rPr>
          <w:rFonts w:cs="Arial"/>
          <w:szCs w:val="22"/>
        </w:rPr>
      </w:pPr>
      <w:r w:rsidRPr="00A85FEA">
        <w:rPr>
          <w:rFonts w:cs="Arial"/>
          <w:szCs w:val="22"/>
        </w:rPr>
        <w:t>Provisiones diversas</w:t>
      </w:r>
    </w:p>
    <w:p w14:paraId="1F10B61B" w14:textId="77777777" w:rsidR="00F53AB1" w:rsidRPr="00A85FEA" w:rsidRDefault="00F53AB1" w:rsidP="001422CA">
      <w:pPr>
        <w:jc w:val="both"/>
        <w:rPr>
          <w:rFonts w:cs="Arial"/>
          <w:szCs w:val="22"/>
        </w:rPr>
      </w:pPr>
      <w:r w:rsidRPr="00A85FEA">
        <w:rPr>
          <w:rFonts w:cs="Arial"/>
          <w:szCs w:val="22"/>
        </w:rPr>
        <w:t>Devolución de bienes aprehendidos o incautados</w:t>
      </w:r>
    </w:p>
    <w:p w14:paraId="5F26E0CE" w14:textId="77777777" w:rsidR="00F53AB1" w:rsidRPr="00A85FEA" w:rsidRDefault="00F53AB1" w:rsidP="001422CA">
      <w:pPr>
        <w:jc w:val="both"/>
        <w:rPr>
          <w:rFonts w:cs="Arial"/>
          <w:szCs w:val="22"/>
        </w:rPr>
      </w:pPr>
      <w:r w:rsidRPr="00A85FEA">
        <w:rPr>
          <w:rFonts w:cs="Arial"/>
          <w:szCs w:val="22"/>
        </w:rPr>
        <w:t>Mecanismos alternativos de solución de conflictos</w:t>
      </w:r>
    </w:p>
    <w:p w14:paraId="718B251C" w14:textId="77777777" w:rsidR="00F53AB1" w:rsidRPr="00A85FEA" w:rsidRDefault="00F53AB1" w:rsidP="001422CA">
      <w:pPr>
        <w:jc w:val="both"/>
        <w:rPr>
          <w:rFonts w:cs="Arial"/>
          <w:szCs w:val="22"/>
        </w:rPr>
      </w:pPr>
      <w:r w:rsidRPr="00A85FEA">
        <w:rPr>
          <w:rFonts w:cs="Arial"/>
          <w:szCs w:val="22"/>
        </w:rPr>
        <w:t>Otras provisiones diversas</w:t>
      </w:r>
    </w:p>
    <w:p w14:paraId="021BA10E" w14:textId="77777777" w:rsidR="00F53AB1" w:rsidRPr="00A85FEA" w:rsidRDefault="00F53AB1" w:rsidP="00D87929">
      <w:pPr>
        <w:rPr>
          <w:rFonts w:cs="Arial"/>
          <w:bCs/>
          <w:iCs/>
          <w:szCs w:val="22"/>
        </w:rPr>
      </w:pPr>
    </w:p>
    <w:p w14:paraId="78FE4F8E" w14:textId="77777777" w:rsidR="00F53AB1" w:rsidRPr="00A85FEA" w:rsidRDefault="00F53AB1" w:rsidP="001422CA">
      <w:pPr>
        <w:pStyle w:val="Ttulo1"/>
        <w:rPr>
          <w:rFonts w:ascii="Arial" w:hAnsi="Arial" w:cs="Arial"/>
          <w:color w:val="auto"/>
          <w:sz w:val="22"/>
          <w:szCs w:val="22"/>
        </w:rPr>
      </w:pPr>
      <w:bookmarkStart w:id="171" w:name="_Toc525721467"/>
      <w:r w:rsidRPr="00A85FEA">
        <w:rPr>
          <w:rFonts w:ascii="Arial" w:hAnsi="Arial" w:cs="Arial"/>
          <w:color w:val="auto"/>
          <w:sz w:val="22"/>
          <w:szCs w:val="22"/>
        </w:rPr>
        <w:t>3.4. Política contable general</w:t>
      </w:r>
      <w:bookmarkEnd w:id="171"/>
    </w:p>
    <w:p w14:paraId="4F3EE0A4" w14:textId="77777777" w:rsidR="00F53AB1" w:rsidRPr="00A85FEA" w:rsidRDefault="00F53AB1" w:rsidP="00D87929">
      <w:pPr>
        <w:rPr>
          <w:rFonts w:cs="Arial"/>
          <w:bCs/>
          <w:iCs/>
          <w:szCs w:val="22"/>
        </w:rPr>
      </w:pPr>
    </w:p>
    <w:p w14:paraId="3A3CCD45" w14:textId="77777777" w:rsidR="00F53AB1" w:rsidRPr="00A85FEA" w:rsidRDefault="00F53AB1" w:rsidP="001422CA">
      <w:pPr>
        <w:jc w:val="both"/>
        <w:rPr>
          <w:rFonts w:cs="Arial"/>
          <w:szCs w:val="22"/>
        </w:rPr>
      </w:pPr>
      <w:r w:rsidRPr="00A85FEA">
        <w:rPr>
          <w:rFonts w:cs="Arial"/>
          <w:bCs/>
          <w:iCs/>
          <w:szCs w:val="22"/>
        </w:rPr>
        <w:t xml:space="preserve">Esta política aplica a las obligaciones que tiene la </w:t>
      </w:r>
      <w:r w:rsidRPr="00A85FEA">
        <w:rPr>
          <w:rFonts w:cs="Arial"/>
          <w:szCs w:val="22"/>
        </w:rPr>
        <w:t>Corporación para el Desarrollo Sostenible del Norte y el Oriente Amazónico – CDA por concepto de litigios y demandas en contra de la entidad, la devolución de bienes aprehendidos o incautados los contratos onerosos, las reestructuraciones, desmantelamientos y otras provisiones que al momento del reconocimiento y medición es incierta la fecha y el valor a pagar.</w:t>
      </w:r>
    </w:p>
    <w:p w14:paraId="499B93CD" w14:textId="77777777" w:rsidR="00F53AB1" w:rsidRPr="00A85FEA" w:rsidRDefault="00F53AB1" w:rsidP="00D87929">
      <w:pPr>
        <w:rPr>
          <w:rFonts w:cs="Arial"/>
          <w:szCs w:val="22"/>
        </w:rPr>
      </w:pPr>
    </w:p>
    <w:p w14:paraId="7082011A" w14:textId="77777777" w:rsidR="00F53AB1" w:rsidRPr="00A85FEA" w:rsidRDefault="00F53AB1" w:rsidP="001422CA">
      <w:pPr>
        <w:pStyle w:val="Ttulo1"/>
        <w:rPr>
          <w:rFonts w:ascii="Arial" w:hAnsi="Arial" w:cs="Arial"/>
          <w:color w:val="auto"/>
          <w:sz w:val="22"/>
          <w:szCs w:val="22"/>
        </w:rPr>
      </w:pPr>
      <w:bookmarkStart w:id="172" w:name="_Toc525721468"/>
      <w:r w:rsidRPr="00A85FEA">
        <w:rPr>
          <w:rFonts w:ascii="Arial" w:hAnsi="Arial" w:cs="Arial"/>
          <w:color w:val="auto"/>
          <w:sz w:val="22"/>
          <w:szCs w:val="22"/>
        </w:rPr>
        <w:t>3.5. Reconocimiento</w:t>
      </w:r>
      <w:bookmarkEnd w:id="172"/>
    </w:p>
    <w:p w14:paraId="46713649" w14:textId="77777777" w:rsidR="00F53AB1" w:rsidRPr="00A85FEA" w:rsidRDefault="00F53AB1" w:rsidP="00D87929">
      <w:pPr>
        <w:rPr>
          <w:rFonts w:cs="Arial"/>
          <w:bCs/>
          <w:iCs/>
          <w:szCs w:val="22"/>
        </w:rPr>
      </w:pPr>
    </w:p>
    <w:p w14:paraId="003C6178" w14:textId="77777777" w:rsidR="00F53AB1" w:rsidRPr="00A85FEA" w:rsidRDefault="00F53AB1" w:rsidP="001422CA">
      <w:pPr>
        <w:jc w:val="both"/>
        <w:rPr>
          <w:rFonts w:cs="Arial"/>
          <w:szCs w:val="22"/>
        </w:rPr>
      </w:pPr>
      <w:r w:rsidRPr="00A85FEA">
        <w:rPr>
          <w:rFonts w:cs="Arial"/>
          <w:szCs w:val="22"/>
        </w:rPr>
        <w:t xml:space="preserve">Se reconocerán como provisiones, los pasivos a cargo de la entidad que estén sujetos a condiciones de incertidumbre en relación con su cuantía y/o vencimiento. Son ejemplos de hechos que pueden ser objeto de reconocimiento como provisiones: los litigios y demandas en contra de la entidad, la devolución de bienes aprehendidos o incautados, los contratos onerosos, las reestructuraciones y los desmantelamientos. </w:t>
      </w:r>
    </w:p>
    <w:p w14:paraId="2773EEFE" w14:textId="77777777" w:rsidR="00F53AB1" w:rsidRPr="00A85FEA" w:rsidRDefault="00F53AB1" w:rsidP="001422CA">
      <w:pPr>
        <w:jc w:val="both"/>
        <w:rPr>
          <w:rFonts w:cs="Arial"/>
          <w:szCs w:val="22"/>
        </w:rPr>
      </w:pPr>
    </w:p>
    <w:p w14:paraId="25A45B2C" w14:textId="77777777" w:rsidR="00F53AB1" w:rsidRPr="00A85FEA" w:rsidRDefault="00F53AB1" w:rsidP="001422CA">
      <w:pPr>
        <w:jc w:val="both"/>
        <w:rPr>
          <w:rFonts w:cs="Arial"/>
          <w:szCs w:val="22"/>
        </w:rPr>
      </w:pPr>
      <w:r w:rsidRPr="00A85FEA">
        <w:rPr>
          <w:rFonts w:cs="Arial"/>
          <w:bCs/>
          <w:iCs/>
          <w:szCs w:val="22"/>
        </w:rPr>
        <w:t xml:space="preserve">La </w:t>
      </w:r>
      <w:r w:rsidRPr="00A85FEA">
        <w:rPr>
          <w:rFonts w:cs="Arial"/>
          <w:szCs w:val="22"/>
        </w:rPr>
        <w:t xml:space="preserve">Corporación para el Desarrollo Sostenible del Norte y el Oriente Amazónico – CDA reconocerá una provisión cuando se cumplan todas y cada una de las siguientes condiciones: </w:t>
      </w:r>
    </w:p>
    <w:p w14:paraId="2D4A6121" w14:textId="77777777" w:rsidR="00F53AB1" w:rsidRPr="00A85FEA" w:rsidRDefault="00F53AB1" w:rsidP="00D87929">
      <w:pPr>
        <w:rPr>
          <w:rFonts w:cs="Arial"/>
          <w:szCs w:val="22"/>
        </w:rPr>
      </w:pPr>
    </w:p>
    <w:p w14:paraId="197D0708" w14:textId="77777777" w:rsidR="00F53AB1" w:rsidRPr="00A85FEA" w:rsidRDefault="00F53AB1" w:rsidP="001422CA">
      <w:pPr>
        <w:jc w:val="both"/>
        <w:rPr>
          <w:rFonts w:cs="Arial"/>
          <w:szCs w:val="22"/>
        </w:rPr>
      </w:pPr>
      <w:r w:rsidRPr="00A85FEA">
        <w:rPr>
          <w:rFonts w:cs="Arial"/>
          <w:szCs w:val="22"/>
        </w:rPr>
        <w:t xml:space="preserve">tiene una obligación presente, ya sea legal o implícita, como resultado de un suceso pasado; </w:t>
      </w:r>
    </w:p>
    <w:p w14:paraId="6C8381CA" w14:textId="77777777" w:rsidR="00F53AB1" w:rsidRPr="00A85FEA" w:rsidRDefault="00F53AB1" w:rsidP="001422CA">
      <w:pPr>
        <w:jc w:val="both"/>
        <w:rPr>
          <w:rFonts w:cs="Arial"/>
          <w:szCs w:val="22"/>
        </w:rPr>
      </w:pPr>
      <w:r w:rsidRPr="00A85FEA">
        <w:rPr>
          <w:rFonts w:cs="Arial"/>
          <w:szCs w:val="22"/>
        </w:rPr>
        <w:t xml:space="preserve">probablemente, debe desprenderse de recursos que incorporen beneficios económicos o potencial de servicio para cancelar la obligación y </w:t>
      </w:r>
    </w:p>
    <w:p w14:paraId="0C1711F4" w14:textId="77777777" w:rsidR="00F53AB1" w:rsidRPr="00A85FEA" w:rsidRDefault="00F53AB1" w:rsidP="001422CA">
      <w:pPr>
        <w:jc w:val="both"/>
        <w:rPr>
          <w:rFonts w:cs="Arial"/>
          <w:szCs w:val="22"/>
        </w:rPr>
      </w:pPr>
      <w:r w:rsidRPr="00A85FEA">
        <w:rPr>
          <w:rFonts w:cs="Arial"/>
          <w:szCs w:val="22"/>
        </w:rPr>
        <w:t xml:space="preserve">puede hacerse una estimación fiable del valor de la obligación. </w:t>
      </w:r>
    </w:p>
    <w:p w14:paraId="6C1882F2" w14:textId="77777777" w:rsidR="00F53AB1" w:rsidRPr="00A85FEA" w:rsidRDefault="00F53AB1" w:rsidP="001422CA">
      <w:pPr>
        <w:jc w:val="both"/>
        <w:rPr>
          <w:rFonts w:cs="Arial"/>
          <w:szCs w:val="22"/>
        </w:rPr>
      </w:pPr>
    </w:p>
    <w:p w14:paraId="03647ECB" w14:textId="77777777" w:rsidR="00F53AB1" w:rsidRPr="00A85FEA" w:rsidRDefault="00F53AB1" w:rsidP="001422CA">
      <w:pPr>
        <w:jc w:val="both"/>
        <w:rPr>
          <w:rFonts w:cs="Arial"/>
          <w:szCs w:val="22"/>
        </w:rPr>
      </w:pPr>
      <w:r w:rsidRPr="00A85FEA">
        <w:rPr>
          <w:rFonts w:cs="Arial"/>
          <w:szCs w:val="22"/>
        </w:rPr>
        <w:t xml:space="preserve">En algunos casos excepcionales no es claro si existe una obligación en el momento presente. En tales circunstancias, se considerará que el suceso ocurrido en el pasado ha dado lugar a una obligación presente si, teniendo en cuenta toda la evidencia disponible al final del periodo contable, es mayor la probabilidad de que exista una obligación presente que de lo contrario. Las obligaciones pueden ser probables, posibles o remotas. </w:t>
      </w:r>
    </w:p>
    <w:p w14:paraId="4160F568" w14:textId="77777777" w:rsidR="00F53AB1" w:rsidRPr="00A85FEA" w:rsidRDefault="00F53AB1" w:rsidP="00D87929">
      <w:pPr>
        <w:rPr>
          <w:rFonts w:cs="Arial"/>
          <w:szCs w:val="22"/>
        </w:rPr>
      </w:pPr>
    </w:p>
    <w:p w14:paraId="3FB37172" w14:textId="77777777" w:rsidR="00F53AB1" w:rsidRPr="00A85FEA" w:rsidRDefault="00F53AB1" w:rsidP="001422CA">
      <w:pPr>
        <w:jc w:val="both"/>
        <w:rPr>
          <w:rFonts w:cs="Arial"/>
          <w:szCs w:val="22"/>
        </w:rPr>
      </w:pPr>
      <w:r w:rsidRPr="00A85FEA">
        <w:rPr>
          <w:rFonts w:cs="Arial"/>
          <w:szCs w:val="22"/>
        </w:rPr>
        <w:t>3.5.1. Obligación probable</w:t>
      </w:r>
    </w:p>
    <w:p w14:paraId="6213F402" w14:textId="77777777" w:rsidR="00F53AB1" w:rsidRPr="00A85FEA" w:rsidRDefault="00F53AB1" w:rsidP="001422CA">
      <w:pPr>
        <w:jc w:val="both"/>
        <w:rPr>
          <w:rFonts w:cs="Arial"/>
          <w:szCs w:val="22"/>
        </w:rPr>
      </w:pPr>
    </w:p>
    <w:p w14:paraId="3284E983" w14:textId="77777777" w:rsidR="00F53AB1" w:rsidRPr="00A85FEA" w:rsidRDefault="00F53AB1" w:rsidP="001422CA">
      <w:pPr>
        <w:jc w:val="both"/>
        <w:rPr>
          <w:rFonts w:cs="Arial"/>
          <w:szCs w:val="22"/>
        </w:rPr>
      </w:pPr>
      <w:r w:rsidRPr="00A85FEA">
        <w:rPr>
          <w:rFonts w:cs="Arial"/>
          <w:szCs w:val="22"/>
        </w:rPr>
        <w:t xml:space="preserve">Una obligación es probable cuando la probabilidad de ocurrencia es más alta que la probabilidad de que no ocurra, lo cual conlleva al reconocimiento de una provisión. </w:t>
      </w:r>
    </w:p>
    <w:p w14:paraId="2FFF18F0" w14:textId="77777777" w:rsidR="00F53AB1" w:rsidRPr="00A85FEA" w:rsidRDefault="00F53AB1" w:rsidP="001422CA">
      <w:pPr>
        <w:jc w:val="both"/>
        <w:rPr>
          <w:rFonts w:cs="Arial"/>
          <w:szCs w:val="22"/>
        </w:rPr>
      </w:pPr>
    </w:p>
    <w:p w14:paraId="686C7A90" w14:textId="77777777" w:rsidR="00F53AB1" w:rsidRPr="00A85FEA" w:rsidRDefault="00F53AB1" w:rsidP="001422CA">
      <w:pPr>
        <w:jc w:val="both"/>
        <w:rPr>
          <w:rFonts w:cs="Arial"/>
          <w:szCs w:val="22"/>
        </w:rPr>
      </w:pPr>
      <w:r w:rsidRPr="00A85FEA">
        <w:rPr>
          <w:rFonts w:cs="Arial"/>
          <w:szCs w:val="22"/>
        </w:rPr>
        <w:t>3.5.2. Obligación posible</w:t>
      </w:r>
    </w:p>
    <w:p w14:paraId="24A6DC2D" w14:textId="77777777" w:rsidR="00F53AB1" w:rsidRPr="00A85FEA" w:rsidRDefault="00F53AB1" w:rsidP="001422CA">
      <w:pPr>
        <w:jc w:val="both"/>
        <w:rPr>
          <w:rFonts w:cs="Arial"/>
          <w:szCs w:val="22"/>
        </w:rPr>
      </w:pPr>
    </w:p>
    <w:p w14:paraId="30597979" w14:textId="77777777" w:rsidR="00F53AB1" w:rsidRPr="00A85FEA" w:rsidRDefault="00F53AB1" w:rsidP="001422CA">
      <w:pPr>
        <w:jc w:val="both"/>
        <w:rPr>
          <w:rFonts w:cs="Arial"/>
          <w:szCs w:val="22"/>
        </w:rPr>
      </w:pPr>
      <w:r w:rsidRPr="00A85FEA">
        <w:rPr>
          <w:rFonts w:cs="Arial"/>
          <w:szCs w:val="22"/>
        </w:rPr>
        <w:t xml:space="preserve">Una obligación es posible cuando la probabilidad de ocurrencia es menor que la probabilidad de no ocurrencia, lo cual conlleva a la revelación de un pasivo contingente. </w:t>
      </w:r>
    </w:p>
    <w:p w14:paraId="7395E99A" w14:textId="77777777" w:rsidR="00F53AB1" w:rsidRPr="00A85FEA" w:rsidRDefault="00F53AB1" w:rsidP="001422CA">
      <w:pPr>
        <w:jc w:val="both"/>
        <w:rPr>
          <w:rFonts w:cs="Arial"/>
          <w:szCs w:val="22"/>
        </w:rPr>
      </w:pPr>
    </w:p>
    <w:p w14:paraId="592FA032" w14:textId="77777777" w:rsidR="00F53AB1" w:rsidRPr="00A85FEA" w:rsidRDefault="00F53AB1" w:rsidP="001422CA">
      <w:pPr>
        <w:jc w:val="both"/>
        <w:rPr>
          <w:rFonts w:cs="Arial"/>
          <w:szCs w:val="22"/>
        </w:rPr>
      </w:pPr>
      <w:r w:rsidRPr="00A85FEA">
        <w:rPr>
          <w:rFonts w:cs="Arial"/>
          <w:szCs w:val="22"/>
        </w:rPr>
        <w:t>3.5.3. Obligación remota</w:t>
      </w:r>
    </w:p>
    <w:p w14:paraId="132183B2" w14:textId="77777777" w:rsidR="00F53AB1" w:rsidRPr="00A85FEA" w:rsidRDefault="00F53AB1" w:rsidP="001422CA">
      <w:pPr>
        <w:jc w:val="both"/>
        <w:rPr>
          <w:rFonts w:cs="Arial"/>
          <w:szCs w:val="22"/>
        </w:rPr>
      </w:pPr>
    </w:p>
    <w:p w14:paraId="07C5FBDD" w14:textId="77777777" w:rsidR="00F53AB1" w:rsidRPr="00A85FEA" w:rsidRDefault="00F53AB1" w:rsidP="001422CA">
      <w:pPr>
        <w:jc w:val="both"/>
        <w:rPr>
          <w:rFonts w:cs="Arial"/>
          <w:szCs w:val="22"/>
        </w:rPr>
      </w:pPr>
      <w:r w:rsidRPr="00A85FEA">
        <w:rPr>
          <w:rFonts w:cs="Arial"/>
          <w:szCs w:val="22"/>
        </w:rPr>
        <w:t xml:space="preserve">Una obligación es remota cuando la probabilidad de ocurrencia del evento es prácticamente nula, en este caso no se reconocerá un pasivo ni será necesaria su revelación como pasivo contingente. </w:t>
      </w:r>
    </w:p>
    <w:p w14:paraId="515C099A" w14:textId="77777777" w:rsidR="00F53AB1" w:rsidRPr="00A85FEA" w:rsidRDefault="00F53AB1" w:rsidP="001422CA">
      <w:pPr>
        <w:jc w:val="both"/>
        <w:rPr>
          <w:rFonts w:cs="Arial"/>
          <w:szCs w:val="22"/>
        </w:rPr>
      </w:pPr>
    </w:p>
    <w:p w14:paraId="52E93B40" w14:textId="77777777" w:rsidR="00F53AB1" w:rsidRPr="00A85FEA" w:rsidRDefault="00F53AB1" w:rsidP="001422CA">
      <w:pPr>
        <w:jc w:val="both"/>
        <w:rPr>
          <w:rFonts w:cs="Arial"/>
          <w:szCs w:val="22"/>
        </w:rPr>
      </w:pPr>
      <w:r w:rsidRPr="00A85FEA">
        <w:rPr>
          <w:rFonts w:cs="Arial"/>
          <w:szCs w:val="22"/>
        </w:rPr>
        <w:t xml:space="preserve">Las provisiones pueden tener origen en obligaciones legales o en obligaciones implícitas. Una obligación legal es aquella que se deriva de un contrato, de la legislación o de otra causa de tipo legal, mientras que una obligación implícita es aquella que asume la entidad, de manera excepcional, producto de acuerdos formales que, aunque no son exigibles legalmente, crean una expectativa válida de que la entidad está dispuesta a asumir ciertas responsabilidades frente a terceros. </w:t>
      </w:r>
    </w:p>
    <w:p w14:paraId="5892EC14" w14:textId="77777777" w:rsidR="00F53AB1" w:rsidRPr="00A85FEA" w:rsidRDefault="00F53AB1" w:rsidP="001422CA">
      <w:pPr>
        <w:jc w:val="both"/>
        <w:rPr>
          <w:rFonts w:cs="Arial"/>
          <w:szCs w:val="22"/>
        </w:rPr>
      </w:pPr>
    </w:p>
    <w:p w14:paraId="17778F57" w14:textId="77777777" w:rsidR="00F53AB1" w:rsidRPr="00A85FEA" w:rsidRDefault="00F53AB1" w:rsidP="001422CA">
      <w:pPr>
        <w:jc w:val="both"/>
        <w:rPr>
          <w:rFonts w:cs="Arial"/>
          <w:szCs w:val="22"/>
        </w:rPr>
      </w:pPr>
      <w:r w:rsidRPr="00A85FEA">
        <w:rPr>
          <w:rFonts w:cs="Arial"/>
          <w:szCs w:val="22"/>
        </w:rPr>
        <w:t xml:space="preserve">Se presume que no se ha creado una expectativa válida ante terceros, si el acuerdo no ha sido comunicado a los afectados de forma suficientemente específica y explícita, si se espera que transcurra un largo periodo antes de que la entidad cumpla con los compromisos asumidos o si el cumplimiento de estos se realiza durante un tiempo significativamente extenso. </w:t>
      </w:r>
    </w:p>
    <w:p w14:paraId="60C2A870" w14:textId="77777777" w:rsidR="00F53AB1" w:rsidRPr="00A85FEA" w:rsidRDefault="00F53AB1" w:rsidP="00D87929">
      <w:pPr>
        <w:rPr>
          <w:rFonts w:cs="Arial"/>
          <w:szCs w:val="22"/>
        </w:rPr>
      </w:pPr>
    </w:p>
    <w:p w14:paraId="26C4B47E" w14:textId="77777777" w:rsidR="00F53AB1" w:rsidRPr="00A85FEA" w:rsidRDefault="00F53AB1" w:rsidP="001422CA">
      <w:pPr>
        <w:jc w:val="both"/>
        <w:rPr>
          <w:rFonts w:cs="Arial"/>
          <w:szCs w:val="22"/>
        </w:rPr>
      </w:pPr>
      <w:r w:rsidRPr="00A85FEA">
        <w:rPr>
          <w:rFonts w:cs="Arial"/>
          <w:szCs w:val="22"/>
        </w:rPr>
        <w:lastRenderedPageBreak/>
        <w:t xml:space="preserve">Las provisiones se utilizarán solo para afrontar los desembolsos para los cuales fueron originalmente reconocidas. </w:t>
      </w:r>
    </w:p>
    <w:p w14:paraId="634D1D83" w14:textId="77777777" w:rsidR="00F53AB1" w:rsidRPr="00A85FEA" w:rsidRDefault="00F53AB1" w:rsidP="001422CA">
      <w:pPr>
        <w:jc w:val="both"/>
        <w:rPr>
          <w:rFonts w:cs="Arial"/>
          <w:szCs w:val="22"/>
        </w:rPr>
      </w:pPr>
    </w:p>
    <w:p w14:paraId="20721F55" w14:textId="77777777" w:rsidR="00F53AB1" w:rsidRPr="00A85FEA" w:rsidRDefault="00F53AB1" w:rsidP="001422CA">
      <w:pPr>
        <w:jc w:val="both"/>
        <w:rPr>
          <w:rFonts w:cs="Arial"/>
          <w:szCs w:val="22"/>
        </w:rPr>
      </w:pPr>
      <w:r w:rsidRPr="00A85FEA">
        <w:rPr>
          <w:rFonts w:cs="Arial"/>
          <w:szCs w:val="22"/>
        </w:rPr>
        <w:t xml:space="preserve">En caso de que </w:t>
      </w:r>
      <w:r w:rsidRPr="00A85FEA">
        <w:rPr>
          <w:rFonts w:cs="Arial"/>
          <w:bCs/>
          <w:iCs/>
          <w:szCs w:val="22"/>
        </w:rPr>
        <w:t xml:space="preserve">la </w:t>
      </w:r>
      <w:r w:rsidRPr="00A85FEA">
        <w:rPr>
          <w:rFonts w:cs="Arial"/>
          <w:szCs w:val="22"/>
        </w:rPr>
        <w:t xml:space="preserve">Corporación para el Desarrollo Sostenible del Norte y el Oriente Amazónico – CDA espere que una parte o la totalidad del desembolso necesario para liquidar la provisión le sea reembolsado por un tercero, el derecho a cobrar tal reembolso se reconocerá como una cuenta por cobrar y como ingreso en el resultado del periodo cuando sea prácticamente segura su recepción. El valor reconocido para el activo no excederá el valor de la provisión. En el estado de resultados, el gasto relacionado con la provisión podrá ser objeto de presentación como una partida neta del valor reconocido como reembolso a recibir. </w:t>
      </w:r>
    </w:p>
    <w:p w14:paraId="5528B334" w14:textId="77777777" w:rsidR="00F53AB1" w:rsidRPr="00A85FEA" w:rsidRDefault="00F53AB1" w:rsidP="001422CA">
      <w:pPr>
        <w:jc w:val="both"/>
        <w:rPr>
          <w:rFonts w:cs="Arial"/>
          <w:szCs w:val="22"/>
        </w:rPr>
      </w:pPr>
    </w:p>
    <w:p w14:paraId="156FBBFE" w14:textId="77777777" w:rsidR="00F53AB1" w:rsidRPr="00A85FEA" w:rsidRDefault="00F53AB1" w:rsidP="001422CA">
      <w:pPr>
        <w:jc w:val="both"/>
        <w:rPr>
          <w:rFonts w:cs="Arial"/>
          <w:szCs w:val="22"/>
        </w:rPr>
      </w:pPr>
      <w:r w:rsidRPr="00A85FEA">
        <w:rPr>
          <w:rFonts w:cs="Arial"/>
          <w:szCs w:val="22"/>
        </w:rPr>
        <w:t xml:space="preserve">Se reconocerán provisiones cuando la entidad esté ejecutando un contrato oneroso. Un contrato oneroso es aquel en el cual </w:t>
      </w:r>
      <w:r w:rsidRPr="00A85FEA">
        <w:rPr>
          <w:rFonts w:cs="Arial"/>
          <w:bCs/>
          <w:iCs/>
          <w:szCs w:val="22"/>
        </w:rPr>
        <w:t xml:space="preserve">la </w:t>
      </w:r>
      <w:r w:rsidRPr="00A85FEA">
        <w:rPr>
          <w:rFonts w:cs="Arial"/>
          <w:szCs w:val="22"/>
        </w:rPr>
        <w:t xml:space="preserve">Corporación para el Desarrollo Sostenible del Norte y el Oriente Amazónico – CDA preveía obtener utilidades, pero en su ejecución se evidencia que los costos inevitables para cubrir las obligaciones establecidas en el contrato exceden los beneficios económicos que se espera recibir de él teniendo en cuenta los valores recuperables. Para reconocer el contrato de carácter oneroso, la entidad reconocerá previamente cualquier tipo de pérdida por deterioro del valor de los activos incorporados en la ejecución del contrato. </w:t>
      </w:r>
    </w:p>
    <w:p w14:paraId="7A8BBA8A" w14:textId="77777777" w:rsidR="00F53AB1" w:rsidRPr="00A85FEA" w:rsidRDefault="00F53AB1" w:rsidP="001422CA">
      <w:pPr>
        <w:jc w:val="both"/>
        <w:rPr>
          <w:rFonts w:cs="Arial"/>
          <w:szCs w:val="22"/>
        </w:rPr>
      </w:pPr>
    </w:p>
    <w:p w14:paraId="5D8033F8" w14:textId="77777777" w:rsidR="00F53AB1" w:rsidRPr="00A85FEA" w:rsidRDefault="00F53AB1" w:rsidP="001422CA">
      <w:pPr>
        <w:jc w:val="both"/>
        <w:rPr>
          <w:rFonts w:cs="Arial"/>
          <w:szCs w:val="22"/>
        </w:rPr>
      </w:pPr>
      <w:r w:rsidRPr="00A85FEA">
        <w:rPr>
          <w:rFonts w:cs="Arial"/>
          <w:szCs w:val="22"/>
        </w:rPr>
        <w:t xml:space="preserve">La entidad reconocerá una provisión por costos de reestructuración cuando se cumplan las condiciones generales de reconocimiento de provisiones establecidas en esta Norma, a partir de los siguientes elementos: a) la entidad tiene un plan formal y detallado para proceder a la reestructuración, en el que se identifican, por lo menos, los siguientes aspectos: la actividad o unidad de operación, o la parte de la misma involucrada; las principales ubicaciones afectadas; la ubicación, función y número aproximado de empleados que se indemnizarán por prescindir de sus servicios; los desembolsos que se llevarán a cabo; y el momento en que se espera implementar el plan; y b) se ha producido, entre los afectados, una expectativa válida de que la reestructuración se llevará a cabo, ya sea por haber comenzado a implementar el plan o por haber anunciado sus principales características a los que van verse afectados por este. </w:t>
      </w:r>
    </w:p>
    <w:p w14:paraId="1A56AA68" w14:textId="77777777" w:rsidR="00F53AB1" w:rsidRPr="00A85FEA" w:rsidRDefault="00F53AB1" w:rsidP="001422CA">
      <w:pPr>
        <w:jc w:val="both"/>
        <w:rPr>
          <w:rFonts w:cs="Arial"/>
          <w:szCs w:val="22"/>
        </w:rPr>
      </w:pPr>
    </w:p>
    <w:p w14:paraId="09D40E2F" w14:textId="77777777" w:rsidR="00F53AB1" w:rsidRPr="00A85FEA" w:rsidRDefault="00F53AB1" w:rsidP="001422CA">
      <w:pPr>
        <w:jc w:val="both"/>
        <w:rPr>
          <w:rFonts w:cs="Arial"/>
          <w:szCs w:val="22"/>
        </w:rPr>
      </w:pPr>
      <w:r w:rsidRPr="00A85FEA">
        <w:rPr>
          <w:rFonts w:cs="Arial"/>
          <w:szCs w:val="22"/>
        </w:rPr>
        <w:t xml:space="preserve">Se entiende que una reestructuración es un programa planeado y controlado por la administración de la entidad, el cual conlleva a una variación significativa, ya sea en el alcance o en la forma como la entidad lleva a cabo su actividad. Este tipo de programas puede abarcar uno o varios de los siguientes sucesos: a) terminación o disposición de una actividad o servicio; b) cierre de una sucursal, terminación de las actividades de la entidad en una localidad o región específica, o la reubicación de las actividades de una región a otra; c) cambios en la estructura administrativa; y d) reorganizaciones importantes que tienen un efecto significativo en la naturaleza y enfoque de las operaciones de la entidad. </w:t>
      </w:r>
    </w:p>
    <w:p w14:paraId="2730CF9B" w14:textId="77777777" w:rsidR="00F53AB1" w:rsidRPr="00A85FEA" w:rsidRDefault="00F53AB1" w:rsidP="00D87929">
      <w:pPr>
        <w:rPr>
          <w:rFonts w:cs="Arial"/>
          <w:szCs w:val="22"/>
        </w:rPr>
      </w:pPr>
    </w:p>
    <w:p w14:paraId="16993F6F" w14:textId="77777777" w:rsidR="00F53AB1" w:rsidRPr="00A85FEA" w:rsidRDefault="00F53AB1" w:rsidP="001422CA">
      <w:pPr>
        <w:jc w:val="both"/>
        <w:rPr>
          <w:rFonts w:cs="Arial"/>
          <w:szCs w:val="22"/>
        </w:rPr>
      </w:pPr>
      <w:r w:rsidRPr="00A85FEA">
        <w:rPr>
          <w:rFonts w:cs="Arial"/>
          <w:szCs w:val="22"/>
        </w:rPr>
        <w:lastRenderedPageBreak/>
        <w:t xml:space="preserve">Se reconocerán provisiones por costos de desmantelamiento, los cuales corresponden a los costos en que incurrirá la entidad para desmantelar o retirar el activo, o rehabilitar el lugar en el que este se asienta. </w:t>
      </w:r>
    </w:p>
    <w:p w14:paraId="10233BCD" w14:textId="77777777" w:rsidR="00F53AB1" w:rsidRPr="00A85FEA" w:rsidRDefault="00F53AB1" w:rsidP="001422CA">
      <w:pPr>
        <w:jc w:val="both"/>
        <w:rPr>
          <w:rFonts w:cs="Arial"/>
          <w:szCs w:val="22"/>
        </w:rPr>
      </w:pPr>
    </w:p>
    <w:p w14:paraId="32B9DCF9" w14:textId="77777777" w:rsidR="00F53AB1" w:rsidRPr="00A85FEA" w:rsidRDefault="00F53AB1" w:rsidP="001422CA">
      <w:pPr>
        <w:jc w:val="both"/>
        <w:rPr>
          <w:rFonts w:cs="Arial"/>
          <w:szCs w:val="22"/>
        </w:rPr>
      </w:pPr>
      <w:r w:rsidRPr="00A85FEA">
        <w:rPr>
          <w:rFonts w:cs="Arial"/>
          <w:szCs w:val="22"/>
        </w:rPr>
        <w:t xml:space="preserve">Las provisiones se reconocerán como un pasivo y un gasto en el resultado del periodo. No obstante, las provisiones por desmantelamientos se reconocerán como un pasivo y como un mayor valor del activo al cual se asocie el desmantelamiento. </w:t>
      </w:r>
    </w:p>
    <w:p w14:paraId="1F5F0A76" w14:textId="77777777" w:rsidR="00F53AB1" w:rsidRPr="00A85FEA" w:rsidRDefault="00F53AB1" w:rsidP="001422CA">
      <w:pPr>
        <w:jc w:val="both"/>
        <w:rPr>
          <w:rFonts w:cs="Arial"/>
          <w:szCs w:val="22"/>
        </w:rPr>
      </w:pPr>
    </w:p>
    <w:p w14:paraId="1C2107B8" w14:textId="77777777" w:rsidR="00F53AB1" w:rsidRPr="00A85FEA" w:rsidRDefault="00F53AB1" w:rsidP="001422CA">
      <w:pPr>
        <w:jc w:val="both"/>
        <w:rPr>
          <w:rFonts w:cs="Arial"/>
          <w:szCs w:val="22"/>
        </w:rPr>
      </w:pPr>
      <w:r w:rsidRPr="00A85FEA">
        <w:rPr>
          <w:rFonts w:cs="Arial"/>
          <w:szCs w:val="22"/>
        </w:rPr>
        <w:t>Las provisiones se reclasificarán al pasivo que corresponda cuando ya no exista incertidumbre en relación con su cuantía y/o vencimiento.</w:t>
      </w:r>
    </w:p>
    <w:p w14:paraId="3A31CFD2" w14:textId="77777777" w:rsidR="00F53AB1" w:rsidRPr="00A85FEA" w:rsidRDefault="00F53AB1" w:rsidP="001422CA">
      <w:pPr>
        <w:pStyle w:val="Ttulo1"/>
        <w:rPr>
          <w:rFonts w:ascii="Arial" w:hAnsi="Arial" w:cs="Arial"/>
          <w:color w:val="auto"/>
          <w:sz w:val="22"/>
          <w:szCs w:val="22"/>
        </w:rPr>
      </w:pPr>
      <w:bookmarkStart w:id="173" w:name="_Toc525721469"/>
      <w:r w:rsidRPr="00A85FEA">
        <w:rPr>
          <w:rFonts w:ascii="Arial" w:hAnsi="Arial" w:cs="Arial"/>
          <w:color w:val="auto"/>
          <w:sz w:val="22"/>
          <w:szCs w:val="22"/>
        </w:rPr>
        <w:t>3.6. Medición inicial</w:t>
      </w:r>
      <w:bookmarkEnd w:id="173"/>
      <w:r w:rsidRPr="00A85FEA">
        <w:rPr>
          <w:rFonts w:ascii="Arial" w:hAnsi="Arial" w:cs="Arial"/>
          <w:color w:val="auto"/>
          <w:sz w:val="22"/>
          <w:szCs w:val="22"/>
        </w:rPr>
        <w:t xml:space="preserve"> </w:t>
      </w:r>
    </w:p>
    <w:p w14:paraId="23FE8B0D" w14:textId="77777777" w:rsidR="00F53AB1" w:rsidRPr="00A85FEA" w:rsidRDefault="00F53AB1" w:rsidP="00D87929">
      <w:pPr>
        <w:rPr>
          <w:rFonts w:cs="Arial"/>
          <w:szCs w:val="22"/>
        </w:rPr>
      </w:pPr>
    </w:p>
    <w:p w14:paraId="77292A71" w14:textId="77777777" w:rsidR="00F53AB1" w:rsidRPr="00A85FEA" w:rsidRDefault="00F53AB1" w:rsidP="001422CA">
      <w:pPr>
        <w:jc w:val="both"/>
        <w:rPr>
          <w:rFonts w:cs="Arial"/>
          <w:szCs w:val="22"/>
        </w:rPr>
      </w:pPr>
      <w:r w:rsidRPr="00A85FEA">
        <w:rPr>
          <w:rFonts w:cs="Arial"/>
          <w:szCs w:val="22"/>
        </w:rPr>
        <w:t xml:space="preserve">Las provisiones se medirán por el valor que refleje la mejor estimación del desembolso que se requeriría para cancelar la obligación presente o para transferirla a un tercero en la fecha de presentación. Dicha estimación tendrá en cuenta los desenlaces asociados de mayor probabilidad, la experiencia que se tenga en operaciones similares, los riesgos e incertidumbres y los informes de expertos, entre otros. </w:t>
      </w:r>
    </w:p>
    <w:p w14:paraId="014E1E27" w14:textId="77777777" w:rsidR="00F53AB1" w:rsidRPr="00A85FEA" w:rsidRDefault="00F53AB1" w:rsidP="001422CA">
      <w:pPr>
        <w:jc w:val="both"/>
        <w:rPr>
          <w:rFonts w:cs="Arial"/>
          <w:szCs w:val="22"/>
        </w:rPr>
      </w:pPr>
    </w:p>
    <w:p w14:paraId="2CE75D44" w14:textId="77777777" w:rsidR="00F53AB1" w:rsidRPr="00A85FEA" w:rsidRDefault="00F53AB1" w:rsidP="001422CA">
      <w:pPr>
        <w:jc w:val="both"/>
        <w:rPr>
          <w:rFonts w:cs="Arial"/>
          <w:szCs w:val="22"/>
        </w:rPr>
      </w:pPr>
      <w:r w:rsidRPr="00A85FEA">
        <w:rPr>
          <w:rFonts w:cs="Arial"/>
          <w:szCs w:val="22"/>
        </w:rPr>
        <w:t xml:space="preserve">El riesgo implica considerar la variabilidad en los desenlaces posibles. Un ajuste por la existencia de riesgo puede aumentar el valor por el que se mide una obligación. Será preciso tener precaución al realizar juicios en condiciones de incertidumbre, de manera que no se sobreestimen los activos o los ingresos y que no se subestimen los pasivos o los gastos. No obstante, la incertidumbre no será una justificación para la creación de provisiones excesivas, o para la sobrevaloración deliberada de los pasivos. </w:t>
      </w:r>
    </w:p>
    <w:p w14:paraId="42F1BBCB" w14:textId="77777777" w:rsidR="00F53AB1" w:rsidRPr="00A85FEA" w:rsidRDefault="00F53AB1" w:rsidP="001422CA">
      <w:pPr>
        <w:jc w:val="both"/>
        <w:rPr>
          <w:rFonts w:cs="Arial"/>
          <w:szCs w:val="22"/>
        </w:rPr>
      </w:pPr>
    </w:p>
    <w:p w14:paraId="4EBE21AA" w14:textId="77777777" w:rsidR="00F53AB1" w:rsidRPr="00A85FEA" w:rsidRDefault="00F53AB1" w:rsidP="001422CA">
      <w:pPr>
        <w:jc w:val="both"/>
        <w:rPr>
          <w:rFonts w:cs="Arial"/>
          <w:szCs w:val="22"/>
        </w:rPr>
      </w:pPr>
      <w:r w:rsidRPr="00A85FEA">
        <w:rPr>
          <w:rFonts w:cs="Arial"/>
          <w:szCs w:val="22"/>
        </w:rPr>
        <w:t xml:space="preserve">Las incertidumbres que rodean el valor a reconocer como provisión se tratan de diferentes formas, atendiendo a las circunstancias particulares de cada caso. En caso de que la provisión que se esté midiendo se refiera a una población importante de casos individuales, la obligación presente se estimará aplicando el método estadístico del Valor Esperado, el cual consiste en promediar todos los posibles desenlaces por sus probabilidades asociadas. Cuando exista un rango de desenlaces posibles con la misma probabilidad, la entidad utilizará el valor medio del intervalo para estimar la provisión. </w:t>
      </w:r>
    </w:p>
    <w:p w14:paraId="6F1E60DB" w14:textId="77777777" w:rsidR="00F53AB1" w:rsidRPr="00A85FEA" w:rsidRDefault="00F53AB1" w:rsidP="001422CA">
      <w:pPr>
        <w:jc w:val="both"/>
        <w:rPr>
          <w:rFonts w:cs="Arial"/>
          <w:szCs w:val="22"/>
        </w:rPr>
      </w:pPr>
    </w:p>
    <w:p w14:paraId="7B769330" w14:textId="77777777" w:rsidR="00F53AB1" w:rsidRPr="00A85FEA" w:rsidRDefault="00F53AB1" w:rsidP="001422CA">
      <w:pPr>
        <w:jc w:val="both"/>
        <w:rPr>
          <w:rFonts w:cs="Arial"/>
          <w:szCs w:val="22"/>
        </w:rPr>
      </w:pPr>
      <w:r w:rsidRPr="00A85FEA">
        <w:rPr>
          <w:rFonts w:cs="Arial"/>
          <w:szCs w:val="22"/>
        </w:rPr>
        <w:t>Cuando el efecto del valor del dinero en el tiempo resulte significativo, el valor de la provisión será el valor presente de los valores que se espera sean requeridos para liquidar la obligación. La tasa de descuento utilizada para este cálculo será la que refleje las evaluaciones actuales del mercado correspondiente al valor del dinero en el tiempo y los riesgos específicos del pasivo correspondiente. En todo caso, la tasa de descuento no deberá reflejar los riesgos que ya hayan sido objeto de ajuste en las estimaciones de los flujos de efectivo futuros relacionados con la provisión.</w:t>
      </w:r>
    </w:p>
    <w:p w14:paraId="0EF98C5B" w14:textId="77777777" w:rsidR="00F53AB1" w:rsidRPr="00A85FEA" w:rsidRDefault="00F53AB1" w:rsidP="001422CA">
      <w:pPr>
        <w:jc w:val="both"/>
        <w:rPr>
          <w:rFonts w:cs="Arial"/>
          <w:szCs w:val="22"/>
        </w:rPr>
      </w:pPr>
    </w:p>
    <w:p w14:paraId="168A328A" w14:textId="77777777" w:rsidR="00F53AB1" w:rsidRPr="00A85FEA" w:rsidRDefault="00F53AB1" w:rsidP="001422CA">
      <w:pPr>
        <w:jc w:val="both"/>
        <w:rPr>
          <w:rFonts w:cs="Arial"/>
          <w:szCs w:val="22"/>
        </w:rPr>
      </w:pPr>
      <w:r w:rsidRPr="00A85FEA">
        <w:rPr>
          <w:rFonts w:cs="Arial"/>
          <w:szCs w:val="22"/>
        </w:rPr>
        <w:lastRenderedPageBreak/>
        <w:t xml:space="preserve">Las provisiones originadas en contratos de carácter oneroso se medirán por el valor presente de la pérdida esperada asociada al contrato, previa deducción de las recuperaciones asociadas al mismo. </w:t>
      </w:r>
    </w:p>
    <w:p w14:paraId="4EC18371" w14:textId="77777777" w:rsidR="00F53AB1" w:rsidRPr="00A85FEA" w:rsidRDefault="00F53AB1" w:rsidP="001422CA">
      <w:pPr>
        <w:jc w:val="both"/>
        <w:rPr>
          <w:rFonts w:cs="Arial"/>
          <w:szCs w:val="22"/>
        </w:rPr>
      </w:pPr>
    </w:p>
    <w:p w14:paraId="70DC5F70" w14:textId="77777777" w:rsidR="00F53AB1" w:rsidRPr="00A85FEA" w:rsidRDefault="00F53AB1" w:rsidP="001422CA">
      <w:pPr>
        <w:jc w:val="both"/>
        <w:rPr>
          <w:rFonts w:cs="Arial"/>
          <w:szCs w:val="22"/>
        </w:rPr>
      </w:pPr>
      <w:r w:rsidRPr="00A85FEA">
        <w:rPr>
          <w:rFonts w:cs="Arial"/>
          <w:szCs w:val="22"/>
        </w:rPr>
        <w:t xml:space="preserve">En el caso de la provisión por reestructuración, la entidad incluirá solo los desembolsos que surjan directamente de esta, los cuales corresponden a aquellos que, de forma simultánea, se deriven de dicho proceso y no estén asociados con las actividades que continúen en la entidad. </w:t>
      </w:r>
    </w:p>
    <w:p w14:paraId="51464046" w14:textId="77777777" w:rsidR="00F53AB1" w:rsidRPr="00A85FEA" w:rsidRDefault="00F53AB1" w:rsidP="001422CA">
      <w:pPr>
        <w:jc w:val="both"/>
        <w:rPr>
          <w:rFonts w:cs="Arial"/>
          <w:szCs w:val="22"/>
        </w:rPr>
      </w:pPr>
    </w:p>
    <w:p w14:paraId="0F1CAF8C" w14:textId="77777777" w:rsidR="00F53AB1" w:rsidRPr="00A85FEA" w:rsidRDefault="00F53AB1" w:rsidP="001422CA">
      <w:pPr>
        <w:jc w:val="both"/>
        <w:rPr>
          <w:rFonts w:cs="Arial"/>
          <w:szCs w:val="22"/>
        </w:rPr>
      </w:pPr>
      <w:r w:rsidRPr="00A85FEA">
        <w:rPr>
          <w:rFonts w:cs="Arial"/>
          <w:szCs w:val="22"/>
        </w:rPr>
        <w:t>La provisión por costos de desmantelamiento se medirá por el valor presente de los costos estimados en los que incurrirá la entidad para llevar a cabo el desmantelamiento, de acuerdo con las normas de Propiedades, planta y equipo o de Bienes de uso público, según corresponda.</w:t>
      </w:r>
    </w:p>
    <w:p w14:paraId="5A8759D6" w14:textId="77777777" w:rsidR="00F53AB1" w:rsidRPr="00A85FEA" w:rsidRDefault="00F53AB1" w:rsidP="001422CA">
      <w:pPr>
        <w:jc w:val="both"/>
        <w:rPr>
          <w:rFonts w:cs="Arial"/>
          <w:bCs/>
          <w:iCs/>
          <w:szCs w:val="22"/>
        </w:rPr>
      </w:pPr>
    </w:p>
    <w:p w14:paraId="158E47A1" w14:textId="77777777" w:rsidR="00F53AB1" w:rsidRPr="00A85FEA" w:rsidRDefault="00F53AB1" w:rsidP="001422CA">
      <w:pPr>
        <w:jc w:val="both"/>
        <w:rPr>
          <w:rFonts w:cs="Arial"/>
          <w:szCs w:val="22"/>
        </w:rPr>
      </w:pPr>
      <w:r w:rsidRPr="00A85FEA">
        <w:rPr>
          <w:rFonts w:cs="Arial"/>
          <w:bCs/>
          <w:iCs/>
          <w:szCs w:val="22"/>
        </w:rPr>
        <w:t xml:space="preserve">La </w:t>
      </w:r>
      <w:r w:rsidRPr="00A85FEA">
        <w:rPr>
          <w:rFonts w:cs="Arial"/>
          <w:szCs w:val="22"/>
        </w:rPr>
        <w:t>Corporación para el Desarrollo Sostenible del Norte y el Oriente Amazónico – CDA establece como política para el registro de sus provisiones aplicar la Resolución 116 de 2017 o procedimiento contable para el registro de los procesos judiciales, laudos arbitrales, conciliaciones extrajudiciales y embargos sobre cuentas bancarias, según concepto que emita el departamento jurídico de la entidad.</w:t>
      </w:r>
    </w:p>
    <w:p w14:paraId="0E5E99A6" w14:textId="77777777" w:rsidR="00F53AB1" w:rsidRPr="00A85FEA" w:rsidRDefault="00F53AB1" w:rsidP="001422CA">
      <w:pPr>
        <w:pStyle w:val="Ttulo1"/>
        <w:rPr>
          <w:rFonts w:ascii="Arial" w:hAnsi="Arial" w:cs="Arial"/>
          <w:color w:val="auto"/>
          <w:sz w:val="22"/>
          <w:szCs w:val="22"/>
        </w:rPr>
      </w:pPr>
      <w:bookmarkStart w:id="174" w:name="_Toc525721470"/>
      <w:r w:rsidRPr="00A85FEA">
        <w:rPr>
          <w:rFonts w:ascii="Arial" w:hAnsi="Arial" w:cs="Arial"/>
          <w:color w:val="auto"/>
          <w:sz w:val="22"/>
          <w:szCs w:val="22"/>
        </w:rPr>
        <w:t>3.7. Medición posterior</w:t>
      </w:r>
      <w:bookmarkEnd w:id="174"/>
      <w:r w:rsidRPr="00A85FEA">
        <w:rPr>
          <w:rFonts w:ascii="Arial" w:hAnsi="Arial" w:cs="Arial"/>
          <w:color w:val="auto"/>
          <w:sz w:val="22"/>
          <w:szCs w:val="22"/>
        </w:rPr>
        <w:t xml:space="preserve"> </w:t>
      </w:r>
    </w:p>
    <w:p w14:paraId="5E392495" w14:textId="77777777" w:rsidR="00F53AB1" w:rsidRPr="00A85FEA" w:rsidRDefault="00F53AB1" w:rsidP="001422CA">
      <w:pPr>
        <w:jc w:val="both"/>
        <w:rPr>
          <w:rFonts w:cs="Arial"/>
          <w:szCs w:val="22"/>
        </w:rPr>
      </w:pPr>
    </w:p>
    <w:p w14:paraId="513D5992" w14:textId="77777777" w:rsidR="00F53AB1" w:rsidRPr="00A85FEA" w:rsidRDefault="00F53AB1" w:rsidP="001422CA">
      <w:pPr>
        <w:jc w:val="both"/>
        <w:rPr>
          <w:rFonts w:cs="Arial"/>
          <w:szCs w:val="22"/>
        </w:rPr>
      </w:pPr>
      <w:r w:rsidRPr="00A85FEA">
        <w:rPr>
          <w:rFonts w:cs="Arial"/>
          <w:szCs w:val="22"/>
        </w:rPr>
        <w:t xml:space="preserve">Las provisiones se revisarán como mínimo al final del periodo contable o cuando se tenga evidencia de que el valor ha cambiado sustancialmente, y se ajustarán afectando el resultado del periodo para reflejar la mejor estimación disponible. </w:t>
      </w:r>
    </w:p>
    <w:p w14:paraId="39A21007" w14:textId="77777777" w:rsidR="00F53AB1" w:rsidRPr="00A85FEA" w:rsidRDefault="00F53AB1" w:rsidP="001422CA">
      <w:pPr>
        <w:jc w:val="both"/>
        <w:rPr>
          <w:rFonts w:cs="Arial"/>
          <w:szCs w:val="22"/>
        </w:rPr>
      </w:pPr>
    </w:p>
    <w:p w14:paraId="194DBC27" w14:textId="77777777" w:rsidR="00F53AB1" w:rsidRPr="00A85FEA" w:rsidRDefault="00F53AB1" w:rsidP="001422CA">
      <w:pPr>
        <w:jc w:val="both"/>
        <w:rPr>
          <w:rFonts w:cs="Arial"/>
          <w:szCs w:val="22"/>
        </w:rPr>
      </w:pPr>
      <w:r w:rsidRPr="00A85FEA">
        <w:rPr>
          <w:rFonts w:cs="Arial"/>
          <w:szCs w:val="22"/>
        </w:rPr>
        <w:t xml:space="preserve">Cuando el valor de la provisión se calcule como el valor presente de la obligación, el valor de esta se aumentará en cada periodo para reflejar el valor del dinero en el tiempo. Tal aumento se reconocerá como gasto en el resultado del periodo. </w:t>
      </w:r>
    </w:p>
    <w:p w14:paraId="5637F550" w14:textId="77777777" w:rsidR="00F53AB1" w:rsidRPr="00A85FEA" w:rsidRDefault="00F53AB1" w:rsidP="001422CA">
      <w:pPr>
        <w:jc w:val="both"/>
        <w:rPr>
          <w:rFonts w:cs="Arial"/>
          <w:szCs w:val="22"/>
        </w:rPr>
      </w:pPr>
    </w:p>
    <w:p w14:paraId="3BCAF367" w14:textId="77777777" w:rsidR="00F53AB1" w:rsidRPr="00A85FEA" w:rsidRDefault="00F53AB1" w:rsidP="001422CA">
      <w:pPr>
        <w:jc w:val="both"/>
        <w:rPr>
          <w:rFonts w:cs="Arial"/>
          <w:szCs w:val="22"/>
        </w:rPr>
      </w:pPr>
    </w:p>
    <w:p w14:paraId="73E87B20" w14:textId="77777777" w:rsidR="00F53AB1" w:rsidRPr="00A85FEA" w:rsidRDefault="00F53AB1" w:rsidP="001422CA">
      <w:pPr>
        <w:jc w:val="both"/>
        <w:rPr>
          <w:rFonts w:cs="Arial"/>
          <w:szCs w:val="22"/>
        </w:rPr>
      </w:pPr>
      <w:r w:rsidRPr="00A85FEA">
        <w:rPr>
          <w:rFonts w:cs="Arial"/>
          <w:szCs w:val="22"/>
        </w:rPr>
        <w:t xml:space="preserve">En el caso de las provisiones constituidas por desmantelamiento, el ajuste afectará a) los gastos del periodo si el ajuste obedece al reconocimiento del valor del dinero en el tiempo o b) el costo del activo si el ajuste corresponde a la revisión de los costos estimados en los que incurrirá la entidad para llevar a cabo el desmantelamiento. </w:t>
      </w:r>
    </w:p>
    <w:p w14:paraId="38C86A1E" w14:textId="77777777" w:rsidR="00F53AB1" w:rsidRPr="00A85FEA" w:rsidRDefault="00F53AB1" w:rsidP="001422CA">
      <w:pPr>
        <w:jc w:val="both"/>
        <w:rPr>
          <w:rFonts w:cs="Arial"/>
          <w:szCs w:val="22"/>
        </w:rPr>
      </w:pPr>
    </w:p>
    <w:p w14:paraId="7B9BE586" w14:textId="77777777" w:rsidR="00F53AB1" w:rsidRPr="00A85FEA" w:rsidRDefault="00F53AB1" w:rsidP="001422CA">
      <w:pPr>
        <w:jc w:val="both"/>
        <w:rPr>
          <w:rFonts w:cs="Arial"/>
          <w:szCs w:val="22"/>
        </w:rPr>
      </w:pPr>
      <w:r w:rsidRPr="00A85FEA">
        <w:rPr>
          <w:rFonts w:cs="Arial"/>
          <w:szCs w:val="22"/>
        </w:rPr>
        <w:t>Cuando ya no sea probable la salida de recursos que incorporen beneficios económicos o potencial de servicio para cancelar la obligación correspondiente, se procederá a liquidar o a revertir la provisión.</w:t>
      </w:r>
    </w:p>
    <w:p w14:paraId="26C143B6" w14:textId="77777777" w:rsidR="00F53AB1" w:rsidRPr="00A85FEA" w:rsidRDefault="00F53AB1" w:rsidP="001422CA">
      <w:pPr>
        <w:pStyle w:val="Ttulo1"/>
        <w:rPr>
          <w:rFonts w:ascii="Arial" w:hAnsi="Arial" w:cs="Arial"/>
          <w:color w:val="auto"/>
          <w:sz w:val="22"/>
          <w:szCs w:val="22"/>
        </w:rPr>
      </w:pPr>
      <w:bookmarkStart w:id="175" w:name="_Toc525721471"/>
      <w:r w:rsidRPr="00A85FEA">
        <w:rPr>
          <w:rFonts w:ascii="Arial" w:hAnsi="Arial" w:cs="Arial"/>
          <w:color w:val="auto"/>
          <w:sz w:val="22"/>
          <w:szCs w:val="22"/>
        </w:rPr>
        <w:lastRenderedPageBreak/>
        <w:t>3.8. Gestión de riesgo</w:t>
      </w:r>
      <w:bookmarkEnd w:id="175"/>
    </w:p>
    <w:p w14:paraId="5F4F64AC" w14:textId="77777777" w:rsidR="00F53AB1" w:rsidRPr="00A85FEA" w:rsidRDefault="00F53AB1" w:rsidP="00D87929">
      <w:pPr>
        <w:rPr>
          <w:rFonts w:cs="Arial"/>
          <w:szCs w:val="22"/>
        </w:rPr>
      </w:pPr>
    </w:p>
    <w:p w14:paraId="03D6063C" w14:textId="77777777" w:rsidR="00F53AB1" w:rsidRPr="00A85FEA" w:rsidRDefault="00F53AB1" w:rsidP="00D87929">
      <w:pPr>
        <w:rPr>
          <w:rFonts w:cs="Arial"/>
          <w:szCs w:val="22"/>
        </w:rPr>
      </w:pPr>
      <w:r w:rsidRPr="00A85FEA">
        <w:rPr>
          <w:rFonts w:cs="Arial"/>
          <w:szCs w:val="22"/>
        </w:rPr>
        <w:t>Que el área jurídica no emita concepto con la periodicidad que se requiere para los informes contables</w:t>
      </w:r>
    </w:p>
    <w:p w14:paraId="44B9E6EA" w14:textId="77777777" w:rsidR="00F53AB1" w:rsidRPr="00A85FEA" w:rsidRDefault="00F53AB1" w:rsidP="001422CA">
      <w:pPr>
        <w:pStyle w:val="Ttulo1"/>
        <w:rPr>
          <w:rFonts w:ascii="Arial" w:hAnsi="Arial" w:cs="Arial"/>
          <w:color w:val="auto"/>
          <w:sz w:val="22"/>
          <w:szCs w:val="22"/>
        </w:rPr>
      </w:pPr>
      <w:bookmarkStart w:id="176" w:name="_Toc525721472"/>
      <w:r w:rsidRPr="00A85FEA">
        <w:rPr>
          <w:rFonts w:ascii="Arial" w:hAnsi="Arial" w:cs="Arial"/>
          <w:color w:val="auto"/>
          <w:sz w:val="22"/>
          <w:szCs w:val="22"/>
        </w:rPr>
        <w:t>3.9. Controles contables</w:t>
      </w:r>
      <w:bookmarkEnd w:id="176"/>
    </w:p>
    <w:p w14:paraId="2ADC84E9" w14:textId="77777777" w:rsidR="00F53AB1" w:rsidRPr="00A85FEA" w:rsidRDefault="00F53AB1" w:rsidP="00D87929">
      <w:pPr>
        <w:rPr>
          <w:rFonts w:cs="Arial"/>
          <w:szCs w:val="22"/>
        </w:rPr>
      </w:pPr>
    </w:p>
    <w:p w14:paraId="68E3B9AE" w14:textId="77777777" w:rsidR="00F53AB1" w:rsidRPr="00A85FEA" w:rsidRDefault="00F53AB1" w:rsidP="001422CA">
      <w:pPr>
        <w:jc w:val="both"/>
        <w:rPr>
          <w:rFonts w:cs="Arial"/>
          <w:szCs w:val="22"/>
        </w:rPr>
      </w:pPr>
      <w:r w:rsidRPr="00A85FEA">
        <w:rPr>
          <w:rFonts w:cs="Arial"/>
          <w:szCs w:val="22"/>
        </w:rPr>
        <w:t xml:space="preserve">Al finalizar el periodo contable el contador solicitara concepto sobre los litigios y demandas y otras provisiones diversas en favor o en contra de la entidad, al asesor jurídico de </w:t>
      </w:r>
      <w:r w:rsidRPr="00A85FEA">
        <w:rPr>
          <w:rFonts w:cs="Arial"/>
          <w:bCs/>
          <w:iCs/>
          <w:szCs w:val="22"/>
        </w:rPr>
        <w:t xml:space="preserve">la </w:t>
      </w:r>
      <w:r w:rsidRPr="00A85FEA">
        <w:rPr>
          <w:rFonts w:cs="Arial"/>
          <w:szCs w:val="22"/>
        </w:rPr>
        <w:t>Corporación para el Desarrollo Sostenible del Norte y el Oriente Amazónico – CDA.</w:t>
      </w:r>
    </w:p>
    <w:p w14:paraId="03573CA7" w14:textId="77777777" w:rsidR="00F53AB1" w:rsidRPr="00A85FEA" w:rsidRDefault="00F53AB1" w:rsidP="001422CA">
      <w:pPr>
        <w:jc w:val="both"/>
        <w:rPr>
          <w:rFonts w:cs="Arial"/>
          <w:szCs w:val="22"/>
        </w:rPr>
      </w:pPr>
      <w:r w:rsidRPr="00A85FEA">
        <w:rPr>
          <w:rFonts w:cs="Arial"/>
          <w:szCs w:val="22"/>
        </w:rPr>
        <w:t xml:space="preserve">El tesorero de </w:t>
      </w:r>
      <w:r w:rsidRPr="00A85FEA">
        <w:rPr>
          <w:rFonts w:cs="Arial"/>
          <w:bCs/>
          <w:iCs/>
          <w:szCs w:val="22"/>
        </w:rPr>
        <w:t xml:space="preserve">la </w:t>
      </w:r>
      <w:r w:rsidRPr="00A85FEA">
        <w:rPr>
          <w:rFonts w:cs="Arial"/>
          <w:szCs w:val="22"/>
        </w:rPr>
        <w:t>Corporación para el Desarrollo Sostenible del Norte y el Oriente Amazónico – CDA informara a contabilidad sobre cualquier embargo que se presente a las cuentas bancarias de la entidad.</w:t>
      </w:r>
    </w:p>
    <w:p w14:paraId="44BE907C" w14:textId="77777777" w:rsidR="00F53AB1" w:rsidRPr="00A85FEA" w:rsidRDefault="00F53AB1" w:rsidP="001422CA">
      <w:pPr>
        <w:jc w:val="both"/>
        <w:rPr>
          <w:rFonts w:cs="Arial"/>
          <w:szCs w:val="22"/>
        </w:rPr>
      </w:pPr>
      <w:r w:rsidRPr="00A85FEA">
        <w:rPr>
          <w:rFonts w:cs="Arial"/>
          <w:szCs w:val="22"/>
        </w:rPr>
        <w:t>El contador aplicara el procedimiento contable para el registro de los procesos judiciales, laudos arbitrales, conciliaciones extrajudiciales y embargos sobre cuentas bancarias</w:t>
      </w:r>
    </w:p>
    <w:p w14:paraId="5DB9B944" w14:textId="77777777" w:rsidR="00F53AB1" w:rsidRPr="00A85FEA" w:rsidRDefault="00F53AB1" w:rsidP="001422CA">
      <w:pPr>
        <w:pStyle w:val="Ttulo1"/>
        <w:rPr>
          <w:rFonts w:ascii="Arial" w:hAnsi="Arial" w:cs="Arial"/>
          <w:color w:val="auto"/>
          <w:sz w:val="22"/>
          <w:szCs w:val="22"/>
        </w:rPr>
      </w:pPr>
      <w:bookmarkStart w:id="177" w:name="_Toc525721473"/>
      <w:r w:rsidRPr="00A85FEA">
        <w:rPr>
          <w:rFonts w:ascii="Arial" w:hAnsi="Arial" w:cs="Arial"/>
          <w:color w:val="auto"/>
          <w:sz w:val="22"/>
          <w:szCs w:val="22"/>
        </w:rPr>
        <w:t>3.10. Revelaciones</w:t>
      </w:r>
      <w:bookmarkEnd w:id="177"/>
      <w:r w:rsidRPr="00A85FEA">
        <w:rPr>
          <w:rFonts w:ascii="Arial" w:hAnsi="Arial" w:cs="Arial"/>
          <w:color w:val="auto"/>
          <w:sz w:val="22"/>
          <w:szCs w:val="22"/>
        </w:rPr>
        <w:t xml:space="preserve"> </w:t>
      </w:r>
    </w:p>
    <w:p w14:paraId="390545D6" w14:textId="77777777" w:rsidR="00F53AB1" w:rsidRPr="00A85FEA" w:rsidRDefault="00F53AB1" w:rsidP="00D87929">
      <w:pPr>
        <w:rPr>
          <w:rFonts w:cs="Arial"/>
          <w:szCs w:val="22"/>
        </w:rPr>
      </w:pPr>
    </w:p>
    <w:p w14:paraId="1A54FE4F" w14:textId="77777777" w:rsidR="00F53AB1" w:rsidRPr="00A85FEA" w:rsidRDefault="00F53AB1" w:rsidP="001422CA">
      <w:pPr>
        <w:jc w:val="both"/>
        <w:rPr>
          <w:rFonts w:cs="Arial"/>
          <w:szCs w:val="22"/>
        </w:rPr>
      </w:pPr>
      <w:r w:rsidRPr="00A85FEA">
        <w:rPr>
          <w:rFonts w:cs="Arial"/>
          <w:szCs w:val="22"/>
        </w:rPr>
        <w:t xml:space="preserve">Para cada tipo de provisión, </w:t>
      </w:r>
      <w:r w:rsidRPr="00A85FEA">
        <w:rPr>
          <w:rFonts w:cs="Arial"/>
          <w:bCs/>
          <w:iCs/>
          <w:szCs w:val="22"/>
        </w:rPr>
        <w:t xml:space="preserve">la </w:t>
      </w:r>
      <w:r w:rsidRPr="00A85FEA">
        <w:rPr>
          <w:rFonts w:cs="Arial"/>
          <w:szCs w:val="22"/>
        </w:rPr>
        <w:t xml:space="preserve">Corporación para el Desarrollo Sostenible del Norte y el Oriente Amazónico – CDA revelará la siguiente información: </w:t>
      </w:r>
    </w:p>
    <w:p w14:paraId="49ACCED3" w14:textId="77777777" w:rsidR="00F53AB1" w:rsidRPr="00A85FEA" w:rsidRDefault="00F53AB1" w:rsidP="001422CA">
      <w:pPr>
        <w:jc w:val="both"/>
        <w:rPr>
          <w:rFonts w:cs="Arial"/>
          <w:szCs w:val="22"/>
        </w:rPr>
      </w:pPr>
    </w:p>
    <w:p w14:paraId="0587625A" w14:textId="77777777" w:rsidR="00F53AB1" w:rsidRPr="00A85FEA" w:rsidRDefault="001422CA" w:rsidP="001422CA">
      <w:pPr>
        <w:jc w:val="both"/>
        <w:rPr>
          <w:rFonts w:cs="Arial"/>
          <w:szCs w:val="22"/>
        </w:rPr>
      </w:pPr>
      <w:r w:rsidRPr="00A85FEA">
        <w:rPr>
          <w:rFonts w:cs="Arial"/>
          <w:szCs w:val="22"/>
        </w:rPr>
        <w:t>La</w:t>
      </w:r>
      <w:r w:rsidR="00F53AB1" w:rsidRPr="00A85FEA">
        <w:rPr>
          <w:rFonts w:cs="Arial"/>
          <w:szCs w:val="22"/>
        </w:rPr>
        <w:t xml:space="preserve"> naturaleza del hecho que la origina; </w:t>
      </w:r>
    </w:p>
    <w:p w14:paraId="35D4C72D" w14:textId="77777777" w:rsidR="00F53AB1" w:rsidRPr="00A85FEA" w:rsidRDefault="00F53AB1" w:rsidP="001422CA">
      <w:pPr>
        <w:jc w:val="both"/>
        <w:rPr>
          <w:rFonts w:cs="Arial"/>
          <w:szCs w:val="22"/>
        </w:rPr>
      </w:pPr>
      <w:r w:rsidRPr="00A85FEA">
        <w:rPr>
          <w:rFonts w:cs="Arial"/>
          <w:szCs w:val="22"/>
        </w:rPr>
        <w:t>una conciliación que muestre el valor en libros al inicio y al final del periodo; las adiciones realizadas durante el periodo, incluidos los ajustes procedentes de los cambios en la medición del valor descontado; los valores cargados contra la provisión durante el periodo; y los valores no utilizados que hayan sido objeto de liquidación o reversión en el periodo;</w:t>
      </w:r>
    </w:p>
    <w:p w14:paraId="3EE9D0D4" w14:textId="77777777" w:rsidR="00F53AB1" w:rsidRPr="00A85FEA" w:rsidRDefault="00F53AB1" w:rsidP="001422CA">
      <w:pPr>
        <w:jc w:val="both"/>
        <w:rPr>
          <w:rFonts w:cs="Arial"/>
          <w:szCs w:val="22"/>
        </w:rPr>
      </w:pPr>
      <w:r w:rsidRPr="00A85FEA">
        <w:rPr>
          <w:rFonts w:cs="Arial"/>
          <w:szCs w:val="22"/>
        </w:rPr>
        <w:t>una descripción acerca de la naturaleza de la obligación contraída, así como del valor y fecha esperada de cualquier pago resultante;</w:t>
      </w:r>
    </w:p>
    <w:p w14:paraId="2AFD39CC" w14:textId="77777777" w:rsidR="00F53AB1" w:rsidRPr="00A85FEA" w:rsidRDefault="00F53AB1" w:rsidP="00607B87">
      <w:pPr>
        <w:jc w:val="both"/>
        <w:rPr>
          <w:rFonts w:cs="Arial"/>
          <w:szCs w:val="22"/>
        </w:rPr>
      </w:pPr>
      <w:r w:rsidRPr="00A85FEA">
        <w:rPr>
          <w:rFonts w:cs="Arial"/>
          <w:szCs w:val="22"/>
        </w:rPr>
        <w:t xml:space="preserve">una indicación acerca de las incertidumbres relativas al valor o a las fechas de salida de recursos; y </w:t>
      </w:r>
    </w:p>
    <w:p w14:paraId="4F9F0659" w14:textId="77777777" w:rsidR="00F53AB1" w:rsidRPr="00A85FEA" w:rsidRDefault="00F53AB1" w:rsidP="00D87929">
      <w:pPr>
        <w:rPr>
          <w:rFonts w:cs="Arial"/>
          <w:szCs w:val="22"/>
        </w:rPr>
      </w:pPr>
      <w:r w:rsidRPr="00A85FEA">
        <w:rPr>
          <w:rFonts w:cs="Arial"/>
          <w:szCs w:val="22"/>
        </w:rPr>
        <w:t>los criterios considerados para la estimación y el valor de cualquier reembolso esperado que esté asociado con la provisión constituida.</w:t>
      </w:r>
    </w:p>
    <w:p w14:paraId="22C369DD" w14:textId="77777777" w:rsidR="00F53AB1" w:rsidRPr="00A85FEA" w:rsidRDefault="00F53AB1" w:rsidP="001422CA">
      <w:pPr>
        <w:pStyle w:val="Ttulo1"/>
        <w:jc w:val="center"/>
        <w:rPr>
          <w:rFonts w:ascii="Arial" w:hAnsi="Arial" w:cs="Arial"/>
          <w:color w:val="auto"/>
          <w:sz w:val="22"/>
          <w:szCs w:val="22"/>
        </w:rPr>
      </w:pPr>
      <w:bookmarkStart w:id="178" w:name="_Toc525721474"/>
      <w:r w:rsidRPr="00A85FEA">
        <w:rPr>
          <w:rFonts w:ascii="Arial" w:hAnsi="Arial" w:cs="Arial"/>
          <w:color w:val="auto"/>
          <w:sz w:val="22"/>
          <w:szCs w:val="22"/>
        </w:rPr>
        <w:t>CAPÍTULO V. POLITICA DE ACTIVOS Y PASIVOS CONTINGENTES</w:t>
      </w:r>
      <w:bookmarkEnd w:id="178"/>
    </w:p>
    <w:p w14:paraId="3DC0FB7B" w14:textId="77777777" w:rsidR="00F53AB1" w:rsidRPr="00A85FEA" w:rsidRDefault="00F53AB1" w:rsidP="001422CA">
      <w:pPr>
        <w:pStyle w:val="Ttulo1"/>
        <w:rPr>
          <w:rFonts w:ascii="Arial" w:hAnsi="Arial" w:cs="Arial"/>
          <w:color w:val="auto"/>
          <w:sz w:val="22"/>
          <w:szCs w:val="22"/>
        </w:rPr>
      </w:pPr>
      <w:bookmarkStart w:id="179" w:name="_Toc525721475"/>
      <w:r w:rsidRPr="00A85FEA">
        <w:rPr>
          <w:rFonts w:ascii="Arial" w:hAnsi="Arial" w:cs="Arial"/>
          <w:color w:val="auto"/>
          <w:sz w:val="22"/>
          <w:szCs w:val="22"/>
        </w:rPr>
        <w:t>1. ACTIVOS CONTINGENTES</w:t>
      </w:r>
      <w:bookmarkEnd w:id="179"/>
      <w:r w:rsidRPr="00A85FEA">
        <w:rPr>
          <w:rFonts w:ascii="Arial" w:hAnsi="Arial" w:cs="Arial"/>
          <w:color w:val="auto"/>
          <w:sz w:val="22"/>
          <w:szCs w:val="22"/>
        </w:rPr>
        <w:t xml:space="preserve"> </w:t>
      </w:r>
    </w:p>
    <w:p w14:paraId="2F7C805E" w14:textId="77777777" w:rsidR="00F53AB1" w:rsidRPr="00A85FEA" w:rsidRDefault="00F53AB1" w:rsidP="00D87929">
      <w:pPr>
        <w:rPr>
          <w:rFonts w:cs="Arial"/>
          <w:szCs w:val="22"/>
        </w:rPr>
      </w:pPr>
    </w:p>
    <w:p w14:paraId="56555217" w14:textId="77777777" w:rsidR="00F53AB1" w:rsidRPr="00A85FEA" w:rsidRDefault="00F53AB1" w:rsidP="00D87929">
      <w:pPr>
        <w:rPr>
          <w:rFonts w:cs="Arial"/>
          <w:szCs w:val="22"/>
        </w:rPr>
      </w:pPr>
      <w:r w:rsidRPr="00A85FEA">
        <w:rPr>
          <w:rFonts w:cs="Arial"/>
          <w:szCs w:val="22"/>
        </w:rPr>
        <w:lastRenderedPageBreak/>
        <w:t>1.1. Reconocimiento</w:t>
      </w:r>
    </w:p>
    <w:p w14:paraId="223B222F" w14:textId="77777777" w:rsidR="00F53AB1" w:rsidRPr="00A85FEA" w:rsidRDefault="00F53AB1" w:rsidP="00D87929">
      <w:pPr>
        <w:rPr>
          <w:rFonts w:cs="Arial"/>
          <w:szCs w:val="22"/>
        </w:rPr>
      </w:pPr>
    </w:p>
    <w:p w14:paraId="519B3925" w14:textId="77777777" w:rsidR="00F53AB1" w:rsidRPr="00A85FEA" w:rsidRDefault="00F53AB1" w:rsidP="001422CA">
      <w:pPr>
        <w:jc w:val="both"/>
        <w:rPr>
          <w:rFonts w:cs="Arial"/>
          <w:szCs w:val="22"/>
        </w:rPr>
      </w:pPr>
      <w:r w:rsidRPr="00A85FEA">
        <w:rPr>
          <w:rFonts w:cs="Arial"/>
          <w:szCs w:val="22"/>
        </w:rPr>
        <w:t xml:space="preserve">Los activos contingentes no serán objeto de reconocimiento en los estados financieros. Un activo contingente es un activo de naturaleza posible surgido a raíz de sucesos pasados, cuya existencia se confirmará solo por la ocurrencia o, en su caso, por la no ocurrencia de uno o más eventos inciertos en el futuro que no están enteramente bajo el control de la entidad. </w:t>
      </w:r>
    </w:p>
    <w:p w14:paraId="4AEC12A3" w14:textId="77777777" w:rsidR="00F53AB1" w:rsidRPr="00A85FEA" w:rsidRDefault="00F53AB1" w:rsidP="001422CA">
      <w:pPr>
        <w:jc w:val="both"/>
        <w:rPr>
          <w:rFonts w:cs="Arial"/>
          <w:szCs w:val="22"/>
        </w:rPr>
      </w:pPr>
    </w:p>
    <w:p w14:paraId="5D93DB05" w14:textId="77777777" w:rsidR="00F53AB1" w:rsidRPr="00A85FEA" w:rsidRDefault="00F53AB1" w:rsidP="001422CA">
      <w:pPr>
        <w:jc w:val="both"/>
        <w:rPr>
          <w:rFonts w:cs="Arial"/>
          <w:szCs w:val="22"/>
        </w:rPr>
      </w:pPr>
      <w:r w:rsidRPr="00A85FEA">
        <w:rPr>
          <w:rFonts w:cs="Arial"/>
          <w:szCs w:val="22"/>
        </w:rPr>
        <w:t xml:space="preserve">Los activos contingentes se evaluarán cuando la entidad obtenga nueva información de hechos económicos asociados o, como mínimo, al final del periodo contable, con el fin de asegurar que su evolución se refleje apropiadamente en los estados financieros. En caso de que la entrada de beneficios económicos o potencial de servicio a la entidad pase a ser prácticamente cierta, se procederá al reconocimiento del ingreso y del activo en los estados financieros del periodo en el que dicho cambio tenga lugar. </w:t>
      </w:r>
    </w:p>
    <w:p w14:paraId="0C462690" w14:textId="77777777" w:rsidR="00F53AB1" w:rsidRPr="00A85FEA" w:rsidRDefault="00F53AB1" w:rsidP="001422CA">
      <w:pPr>
        <w:pStyle w:val="Ttulo1"/>
        <w:rPr>
          <w:rFonts w:ascii="Arial" w:hAnsi="Arial" w:cs="Arial"/>
          <w:color w:val="auto"/>
          <w:sz w:val="22"/>
          <w:szCs w:val="22"/>
        </w:rPr>
      </w:pPr>
      <w:bookmarkStart w:id="180" w:name="_Toc525721476"/>
      <w:r w:rsidRPr="00A85FEA">
        <w:rPr>
          <w:rFonts w:ascii="Arial" w:hAnsi="Arial" w:cs="Arial"/>
          <w:color w:val="auto"/>
          <w:sz w:val="22"/>
          <w:szCs w:val="22"/>
        </w:rPr>
        <w:t>1.2. Revelaciones</w:t>
      </w:r>
      <w:bookmarkEnd w:id="180"/>
      <w:r w:rsidRPr="00A85FEA">
        <w:rPr>
          <w:rFonts w:ascii="Arial" w:hAnsi="Arial" w:cs="Arial"/>
          <w:color w:val="auto"/>
          <w:sz w:val="22"/>
          <w:szCs w:val="22"/>
        </w:rPr>
        <w:t xml:space="preserve"> </w:t>
      </w:r>
    </w:p>
    <w:p w14:paraId="7A420A52" w14:textId="77777777" w:rsidR="00F53AB1" w:rsidRPr="00A85FEA" w:rsidRDefault="00F53AB1" w:rsidP="00D87929">
      <w:pPr>
        <w:rPr>
          <w:rFonts w:cs="Arial"/>
          <w:szCs w:val="22"/>
        </w:rPr>
      </w:pPr>
    </w:p>
    <w:p w14:paraId="5292EBD7" w14:textId="77777777" w:rsidR="00F53AB1" w:rsidRPr="00A85FEA" w:rsidRDefault="00F53AB1" w:rsidP="009862F8">
      <w:pPr>
        <w:jc w:val="both"/>
        <w:rPr>
          <w:rFonts w:cs="Arial"/>
          <w:szCs w:val="22"/>
        </w:rPr>
      </w:pPr>
      <w:r w:rsidRPr="00A85FEA">
        <w:rPr>
          <w:rFonts w:cs="Arial"/>
          <w:bCs/>
          <w:iCs/>
          <w:szCs w:val="22"/>
        </w:rPr>
        <w:t xml:space="preserve">La </w:t>
      </w:r>
      <w:r w:rsidRPr="00A85FEA">
        <w:rPr>
          <w:rFonts w:cs="Arial"/>
          <w:szCs w:val="22"/>
        </w:rPr>
        <w:t xml:space="preserve">Corporación para el Desarrollo Sostenible del Norte y el Oriente Amazónico – CDA revelará, para cada tipo de activo contingente, la siguiente información: </w:t>
      </w:r>
    </w:p>
    <w:p w14:paraId="696E8147" w14:textId="77777777" w:rsidR="00F53AB1" w:rsidRPr="00A85FEA" w:rsidRDefault="00F53AB1" w:rsidP="009862F8">
      <w:pPr>
        <w:jc w:val="both"/>
        <w:rPr>
          <w:rFonts w:cs="Arial"/>
          <w:szCs w:val="22"/>
        </w:rPr>
      </w:pPr>
    </w:p>
    <w:p w14:paraId="4F626964" w14:textId="77777777" w:rsidR="00F53AB1" w:rsidRPr="00A85FEA" w:rsidRDefault="00F53AB1" w:rsidP="009862F8">
      <w:pPr>
        <w:jc w:val="both"/>
        <w:rPr>
          <w:rFonts w:cs="Arial"/>
          <w:szCs w:val="22"/>
        </w:rPr>
      </w:pPr>
      <w:r w:rsidRPr="00A85FEA">
        <w:rPr>
          <w:rFonts w:cs="Arial"/>
          <w:szCs w:val="22"/>
        </w:rPr>
        <w:t xml:space="preserve">una descripción de la naturaleza del activo contingente; </w:t>
      </w:r>
    </w:p>
    <w:p w14:paraId="0D72110D" w14:textId="77777777" w:rsidR="00F53AB1" w:rsidRPr="00A85FEA" w:rsidRDefault="00F53AB1" w:rsidP="009862F8">
      <w:pPr>
        <w:jc w:val="both"/>
        <w:rPr>
          <w:rFonts w:cs="Arial"/>
          <w:szCs w:val="22"/>
        </w:rPr>
      </w:pPr>
      <w:r w:rsidRPr="00A85FEA">
        <w:rPr>
          <w:rFonts w:cs="Arial"/>
          <w:szCs w:val="22"/>
        </w:rPr>
        <w:t xml:space="preserve">una estimación de los efectos financieros y una indicación de las incertidumbres relacionadas con el valor o las fechas de entrada de recursos; lo anterior, en la medida en que sea practicable obtener la información; y </w:t>
      </w:r>
    </w:p>
    <w:p w14:paraId="6C04CC87" w14:textId="77777777" w:rsidR="00F53AB1" w:rsidRPr="00A85FEA" w:rsidRDefault="00F53AB1" w:rsidP="00D87929">
      <w:pPr>
        <w:rPr>
          <w:rFonts w:cs="Arial"/>
          <w:szCs w:val="22"/>
        </w:rPr>
      </w:pPr>
      <w:r w:rsidRPr="00A85FEA">
        <w:rPr>
          <w:rFonts w:cs="Arial"/>
          <w:szCs w:val="22"/>
        </w:rPr>
        <w:t>el hecho de que sea impracticable revelar una o más de las informaciones contenidas en el literal b).</w:t>
      </w:r>
    </w:p>
    <w:p w14:paraId="0F2748B6" w14:textId="77777777" w:rsidR="00F53AB1" w:rsidRPr="00A85FEA" w:rsidRDefault="00F53AB1" w:rsidP="00D87929">
      <w:pPr>
        <w:rPr>
          <w:rFonts w:cs="Arial"/>
          <w:szCs w:val="22"/>
        </w:rPr>
      </w:pPr>
    </w:p>
    <w:p w14:paraId="711D36B8" w14:textId="77777777" w:rsidR="00F53AB1" w:rsidRPr="00A85FEA" w:rsidRDefault="00F53AB1" w:rsidP="00D87929">
      <w:pPr>
        <w:rPr>
          <w:rFonts w:cs="Arial"/>
          <w:szCs w:val="22"/>
        </w:rPr>
      </w:pPr>
      <w:r w:rsidRPr="00A85FEA">
        <w:rPr>
          <w:rFonts w:cs="Arial"/>
          <w:szCs w:val="22"/>
        </w:rPr>
        <w:t xml:space="preserve">Adicionalmente, cuando sea posible realizar una medición, estos se registrarán en cuenta de orden deudoras contingentes. </w:t>
      </w:r>
    </w:p>
    <w:p w14:paraId="08C9316D" w14:textId="77777777" w:rsidR="00F53AB1" w:rsidRPr="00A85FEA" w:rsidRDefault="00F53AB1" w:rsidP="009862F8">
      <w:pPr>
        <w:pStyle w:val="Ttulo1"/>
        <w:rPr>
          <w:rFonts w:ascii="Arial" w:hAnsi="Arial" w:cs="Arial"/>
          <w:color w:val="auto"/>
          <w:sz w:val="22"/>
          <w:szCs w:val="22"/>
        </w:rPr>
      </w:pPr>
      <w:bookmarkStart w:id="181" w:name="_Toc525721477"/>
      <w:r w:rsidRPr="00A85FEA">
        <w:rPr>
          <w:rFonts w:ascii="Arial" w:hAnsi="Arial" w:cs="Arial"/>
          <w:color w:val="auto"/>
          <w:sz w:val="22"/>
          <w:szCs w:val="22"/>
        </w:rPr>
        <w:t>2. PASIVOS CONTINGENTES</w:t>
      </w:r>
      <w:bookmarkEnd w:id="181"/>
      <w:r w:rsidRPr="00A85FEA">
        <w:rPr>
          <w:rFonts w:ascii="Arial" w:hAnsi="Arial" w:cs="Arial"/>
          <w:color w:val="auto"/>
          <w:sz w:val="22"/>
          <w:szCs w:val="22"/>
        </w:rPr>
        <w:t xml:space="preserve"> </w:t>
      </w:r>
    </w:p>
    <w:p w14:paraId="2979CA63" w14:textId="77777777" w:rsidR="00F53AB1" w:rsidRPr="00A85FEA" w:rsidRDefault="00F53AB1" w:rsidP="009862F8">
      <w:pPr>
        <w:pStyle w:val="Ttulo1"/>
        <w:rPr>
          <w:rFonts w:ascii="Arial" w:hAnsi="Arial" w:cs="Arial"/>
          <w:color w:val="auto"/>
          <w:sz w:val="22"/>
          <w:szCs w:val="22"/>
        </w:rPr>
      </w:pPr>
      <w:bookmarkStart w:id="182" w:name="_Toc525721478"/>
      <w:r w:rsidRPr="00A85FEA">
        <w:rPr>
          <w:rFonts w:ascii="Arial" w:hAnsi="Arial" w:cs="Arial"/>
          <w:color w:val="auto"/>
          <w:sz w:val="22"/>
          <w:szCs w:val="22"/>
        </w:rPr>
        <w:t>2.1. Reconocimiento</w:t>
      </w:r>
      <w:bookmarkEnd w:id="182"/>
    </w:p>
    <w:p w14:paraId="4055FCC0" w14:textId="77777777" w:rsidR="00F53AB1" w:rsidRPr="00A85FEA" w:rsidRDefault="00F53AB1" w:rsidP="00D87929">
      <w:pPr>
        <w:rPr>
          <w:rFonts w:cs="Arial"/>
          <w:szCs w:val="22"/>
        </w:rPr>
      </w:pPr>
    </w:p>
    <w:p w14:paraId="3DCE21D9" w14:textId="77777777" w:rsidR="00F53AB1" w:rsidRPr="00A85FEA" w:rsidRDefault="00F53AB1" w:rsidP="009862F8">
      <w:pPr>
        <w:jc w:val="both"/>
        <w:rPr>
          <w:rFonts w:cs="Arial"/>
          <w:szCs w:val="22"/>
        </w:rPr>
      </w:pPr>
      <w:r w:rsidRPr="00A85FEA">
        <w:rPr>
          <w:rFonts w:cs="Arial"/>
          <w:szCs w:val="22"/>
        </w:rPr>
        <w:t xml:space="preserve">Los pasivos contingentes no serán objeto de reconocimiento en los estados financieros. Un pasivo contingente corresponde a una obligación posible surgida a raíz de sucesos pasados, cuya existencia quedará confirmada solo si llegan a ocurrir o si no llegan a ocurrir uno o más sucesos futuros inciertos que no estén enteramente bajo el control de la entidad. Un pasivo contingente también corresponde a toda obligación presente, surgida a raíz de sucesos pasados, pero no reconocida en los estados financieros, bien sea porque </w:t>
      </w:r>
      <w:r w:rsidRPr="00A85FEA">
        <w:rPr>
          <w:rFonts w:cs="Arial"/>
          <w:szCs w:val="22"/>
        </w:rPr>
        <w:lastRenderedPageBreak/>
        <w:t xml:space="preserve">no es probable que, para satisfacerla, se requiera que la entidad tenga que desprenderse de recursos que incorporen beneficios económicos o potencial de servicio; o bien sea porque no puede estimarse el valor de la obligación con la suficiente fiabilidad. </w:t>
      </w:r>
    </w:p>
    <w:p w14:paraId="27F56257" w14:textId="77777777" w:rsidR="00F53AB1" w:rsidRPr="00A85FEA" w:rsidRDefault="00F53AB1" w:rsidP="009862F8">
      <w:pPr>
        <w:jc w:val="both"/>
        <w:rPr>
          <w:rFonts w:cs="Arial"/>
          <w:szCs w:val="22"/>
        </w:rPr>
      </w:pPr>
    </w:p>
    <w:p w14:paraId="0BCA7BA6" w14:textId="77777777" w:rsidR="00F53AB1" w:rsidRPr="00A85FEA" w:rsidRDefault="00F53AB1" w:rsidP="009862F8">
      <w:pPr>
        <w:jc w:val="both"/>
        <w:rPr>
          <w:rFonts w:cs="Arial"/>
          <w:szCs w:val="22"/>
        </w:rPr>
      </w:pPr>
      <w:r w:rsidRPr="00A85FEA">
        <w:rPr>
          <w:rFonts w:cs="Arial"/>
          <w:szCs w:val="22"/>
        </w:rPr>
        <w:t xml:space="preserve">Los pasivos contingentes se evaluarán cuando la entidad obtenga nueva información de hechos económicos asociados o, como mínimo, al final del periodo contable, con el fin de asegurar que su evolución se refleje apropiadamente en los estados financieros. En caso de que la salida de recursos sea probable y que se obtenga una medición fiable de la obligación, se procederá al reconocimiento del pasivo en los estados financieros del periodo en el que dicho cambio tenga lugar. </w:t>
      </w:r>
    </w:p>
    <w:p w14:paraId="71F65330" w14:textId="77777777" w:rsidR="00F53AB1" w:rsidRPr="00A85FEA" w:rsidRDefault="00F53AB1" w:rsidP="009862F8">
      <w:pPr>
        <w:pStyle w:val="Ttulo1"/>
        <w:rPr>
          <w:rFonts w:ascii="Arial" w:hAnsi="Arial" w:cs="Arial"/>
          <w:color w:val="auto"/>
          <w:sz w:val="22"/>
          <w:szCs w:val="22"/>
        </w:rPr>
      </w:pPr>
      <w:bookmarkStart w:id="183" w:name="_Toc525721479"/>
      <w:r w:rsidRPr="00A85FEA">
        <w:rPr>
          <w:rFonts w:ascii="Arial" w:hAnsi="Arial" w:cs="Arial"/>
          <w:color w:val="auto"/>
          <w:sz w:val="22"/>
          <w:szCs w:val="22"/>
        </w:rPr>
        <w:t>2.2. Revelaciones</w:t>
      </w:r>
      <w:bookmarkEnd w:id="183"/>
    </w:p>
    <w:p w14:paraId="11E24802" w14:textId="77777777" w:rsidR="00F53AB1" w:rsidRPr="00A85FEA" w:rsidRDefault="00F53AB1" w:rsidP="00D87929">
      <w:pPr>
        <w:rPr>
          <w:rFonts w:cs="Arial"/>
          <w:szCs w:val="22"/>
        </w:rPr>
      </w:pPr>
    </w:p>
    <w:p w14:paraId="30F13A09" w14:textId="77777777" w:rsidR="00F53AB1" w:rsidRPr="00A85FEA" w:rsidRDefault="00F53AB1" w:rsidP="009862F8">
      <w:pPr>
        <w:jc w:val="both"/>
        <w:rPr>
          <w:rFonts w:cs="Arial"/>
          <w:szCs w:val="22"/>
        </w:rPr>
      </w:pPr>
      <w:r w:rsidRPr="00A85FEA">
        <w:rPr>
          <w:rFonts w:cs="Arial"/>
          <w:bCs/>
          <w:iCs/>
          <w:szCs w:val="22"/>
        </w:rPr>
        <w:t xml:space="preserve">La </w:t>
      </w:r>
      <w:r w:rsidRPr="00A85FEA">
        <w:rPr>
          <w:rFonts w:cs="Arial"/>
          <w:szCs w:val="22"/>
        </w:rPr>
        <w:t xml:space="preserve">Corporación para el Desarrollo Sostenible del Norte y el Oriente Amazónico – CDA revelará, para cada tipo de pasivo contingente, la siguiente información: </w:t>
      </w:r>
    </w:p>
    <w:p w14:paraId="314C45C9" w14:textId="77777777" w:rsidR="00F53AB1" w:rsidRPr="00A85FEA" w:rsidRDefault="00F53AB1" w:rsidP="009862F8">
      <w:pPr>
        <w:jc w:val="both"/>
        <w:rPr>
          <w:rFonts w:cs="Arial"/>
          <w:szCs w:val="22"/>
        </w:rPr>
      </w:pPr>
    </w:p>
    <w:p w14:paraId="561DF3AE" w14:textId="77777777" w:rsidR="00F53AB1" w:rsidRPr="00A85FEA" w:rsidRDefault="00F53AB1" w:rsidP="009862F8">
      <w:pPr>
        <w:jc w:val="both"/>
        <w:rPr>
          <w:rFonts w:cs="Arial"/>
          <w:szCs w:val="22"/>
        </w:rPr>
      </w:pPr>
      <w:r w:rsidRPr="00A85FEA">
        <w:rPr>
          <w:rFonts w:cs="Arial"/>
          <w:szCs w:val="22"/>
        </w:rPr>
        <w:t xml:space="preserve">una descripción de la naturaleza del pasivo contingente; </w:t>
      </w:r>
    </w:p>
    <w:p w14:paraId="561A34E0" w14:textId="77777777" w:rsidR="00F53AB1" w:rsidRPr="00A85FEA" w:rsidRDefault="00F53AB1" w:rsidP="009862F8">
      <w:pPr>
        <w:jc w:val="both"/>
        <w:rPr>
          <w:rFonts w:cs="Arial"/>
          <w:szCs w:val="22"/>
        </w:rPr>
      </w:pPr>
      <w:r w:rsidRPr="00A85FEA">
        <w:rPr>
          <w:rFonts w:cs="Arial"/>
          <w:szCs w:val="22"/>
        </w:rPr>
        <w:t xml:space="preserve">una estimación de los efectos financieros, la indicación de las incertidumbres relacionadas con el valor o las fechas de salida de recursos y la posibilidad de cualquier reembolso; lo anterior, en la medida en que sea practicable obtener la información; y </w:t>
      </w:r>
    </w:p>
    <w:p w14:paraId="466B46F9" w14:textId="77777777" w:rsidR="00F53AB1" w:rsidRPr="00A85FEA" w:rsidRDefault="00F53AB1" w:rsidP="009862F8">
      <w:pPr>
        <w:jc w:val="both"/>
        <w:rPr>
          <w:rFonts w:cs="Arial"/>
          <w:szCs w:val="22"/>
        </w:rPr>
      </w:pPr>
      <w:r w:rsidRPr="00A85FEA">
        <w:rPr>
          <w:rFonts w:cs="Arial"/>
          <w:szCs w:val="22"/>
        </w:rPr>
        <w:t>el hecho de que sea impracticable revelar una o más de las informaciones contenidas en el literal b).</w:t>
      </w:r>
    </w:p>
    <w:p w14:paraId="1C8E90E1" w14:textId="77777777" w:rsidR="00F53AB1" w:rsidRPr="00A85FEA" w:rsidRDefault="00F53AB1" w:rsidP="009862F8">
      <w:pPr>
        <w:jc w:val="both"/>
        <w:rPr>
          <w:rFonts w:cs="Arial"/>
          <w:szCs w:val="22"/>
        </w:rPr>
      </w:pPr>
    </w:p>
    <w:p w14:paraId="2458DA16" w14:textId="77777777" w:rsidR="00F53AB1" w:rsidRPr="00A85FEA" w:rsidRDefault="00F53AB1" w:rsidP="009862F8">
      <w:pPr>
        <w:jc w:val="both"/>
        <w:rPr>
          <w:rFonts w:cs="Arial"/>
          <w:szCs w:val="22"/>
        </w:rPr>
      </w:pPr>
      <w:r w:rsidRPr="00A85FEA">
        <w:rPr>
          <w:rFonts w:cs="Arial"/>
          <w:szCs w:val="22"/>
        </w:rPr>
        <w:t>Adicionalmente, cuando sea posible realizar una medición, estos se registrarán en cuenta de orden acreedoras contingentes.</w:t>
      </w:r>
    </w:p>
    <w:p w14:paraId="7FB3495E" w14:textId="77777777" w:rsidR="00F53AB1" w:rsidRPr="00A85FEA" w:rsidRDefault="00F53AB1" w:rsidP="009862F8">
      <w:pPr>
        <w:pStyle w:val="Ttulo1"/>
        <w:jc w:val="center"/>
        <w:rPr>
          <w:rFonts w:ascii="Arial" w:hAnsi="Arial" w:cs="Arial"/>
          <w:color w:val="auto"/>
          <w:sz w:val="22"/>
          <w:szCs w:val="22"/>
        </w:rPr>
      </w:pPr>
      <w:bookmarkStart w:id="184" w:name="_Toc525721480"/>
      <w:r w:rsidRPr="00A85FEA">
        <w:rPr>
          <w:rFonts w:ascii="Arial" w:hAnsi="Arial" w:cs="Arial"/>
          <w:color w:val="auto"/>
          <w:sz w:val="22"/>
          <w:szCs w:val="22"/>
        </w:rPr>
        <w:t>VI. POLÍTICA DE PATRIMONIO</w:t>
      </w:r>
      <w:bookmarkEnd w:id="184"/>
    </w:p>
    <w:p w14:paraId="1C129103" w14:textId="77777777" w:rsidR="00F53AB1" w:rsidRPr="00607B87" w:rsidRDefault="00F53AB1" w:rsidP="00607B87">
      <w:pPr>
        <w:pStyle w:val="Ttulo1"/>
        <w:rPr>
          <w:rFonts w:ascii="Arial" w:hAnsi="Arial" w:cs="Arial"/>
          <w:color w:val="auto"/>
          <w:sz w:val="22"/>
          <w:szCs w:val="22"/>
          <w:lang w:eastAsia="es-ES"/>
        </w:rPr>
      </w:pPr>
      <w:bookmarkStart w:id="185" w:name="_Toc525721481"/>
      <w:r w:rsidRPr="00607B87">
        <w:rPr>
          <w:rFonts w:ascii="Arial" w:hAnsi="Arial" w:cs="Arial"/>
          <w:color w:val="auto"/>
          <w:sz w:val="22"/>
          <w:szCs w:val="22"/>
          <w:lang w:eastAsia="es-ES"/>
        </w:rPr>
        <w:t>1.</w:t>
      </w:r>
      <w:r w:rsidRPr="00607B87">
        <w:rPr>
          <w:rFonts w:ascii="Arial" w:hAnsi="Arial" w:cs="Arial"/>
          <w:color w:val="auto"/>
          <w:sz w:val="22"/>
          <w:szCs w:val="22"/>
          <w:lang w:eastAsia="es-ES"/>
        </w:rPr>
        <w:tab/>
        <w:t>Objetivo</w:t>
      </w:r>
      <w:bookmarkEnd w:id="185"/>
    </w:p>
    <w:p w14:paraId="0F51EF4B" w14:textId="77777777" w:rsidR="00F53AB1" w:rsidRPr="00A85FEA" w:rsidRDefault="00F53AB1" w:rsidP="00D87929">
      <w:pPr>
        <w:rPr>
          <w:rFonts w:cs="Arial"/>
          <w:szCs w:val="22"/>
          <w:lang w:eastAsia="es-ES"/>
        </w:rPr>
      </w:pPr>
    </w:p>
    <w:p w14:paraId="5555C37F" w14:textId="77777777" w:rsidR="00F53AB1" w:rsidRPr="00A85FEA" w:rsidRDefault="00F53AB1" w:rsidP="00607B87">
      <w:pPr>
        <w:jc w:val="both"/>
        <w:rPr>
          <w:rFonts w:cs="Arial"/>
          <w:szCs w:val="22"/>
          <w:lang w:eastAsia="es-ES"/>
        </w:rPr>
      </w:pPr>
      <w:r w:rsidRPr="00A85FEA">
        <w:rPr>
          <w:rFonts w:cs="Arial"/>
          <w:szCs w:val="22"/>
          <w:lang w:eastAsia="es-ES"/>
        </w:rPr>
        <w:t xml:space="preserve">Establecer los lineamientos para el reconocimiento, medición, presentación y revelación de la composición del Patrimonio en </w:t>
      </w:r>
      <w:r w:rsidRPr="00A85FEA">
        <w:rPr>
          <w:rFonts w:cs="Arial"/>
          <w:szCs w:val="22"/>
        </w:rPr>
        <w:t>la Corporación para el Desarrollo Sostenible del Norte y el Oriente Amazónico – CDA</w:t>
      </w:r>
      <w:r w:rsidRPr="00A85FEA">
        <w:rPr>
          <w:rFonts w:eastAsia="Calibri" w:cs="Arial"/>
          <w:szCs w:val="22"/>
        </w:rPr>
        <w:t>.</w:t>
      </w:r>
    </w:p>
    <w:p w14:paraId="5639C244" w14:textId="77777777" w:rsidR="00F53AB1" w:rsidRPr="00A85FEA" w:rsidRDefault="00F53AB1" w:rsidP="009862F8">
      <w:pPr>
        <w:pStyle w:val="Ttulo1"/>
        <w:rPr>
          <w:rFonts w:ascii="Arial" w:hAnsi="Arial" w:cs="Arial"/>
          <w:color w:val="auto"/>
          <w:sz w:val="22"/>
          <w:szCs w:val="22"/>
          <w:lang w:eastAsia="es-ES"/>
        </w:rPr>
      </w:pPr>
      <w:bookmarkStart w:id="186" w:name="_Toc525721482"/>
      <w:r w:rsidRPr="00A85FEA">
        <w:rPr>
          <w:rFonts w:ascii="Arial" w:hAnsi="Arial" w:cs="Arial"/>
          <w:color w:val="auto"/>
          <w:sz w:val="22"/>
          <w:szCs w:val="22"/>
          <w:lang w:eastAsia="es-ES"/>
        </w:rPr>
        <w:t>2.</w:t>
      </w:r>
      <w:r w:rsidRPr="00A85FEA">
        <w:rPr>
          <w:rFonts w:ascii="Arial" w:hAnsi="Arial" w:cs="Arial"/>
          <w:color w:val="auto"/>
          <w:sz w:val="22"/>
          <w:szCs w:val="22"/>
          <w:lang w:eastAsia="es-ES"/>
        </w:rPr>
        <w:tab/>
        <w:t>Normatividad Relacionada</w:t>
      </w:r>
      <w:bookmarkEnd w:id="186"/>
    </w:p>
    <w:p w14:paraId="00DE9076" w14:textId="77777777" w:rsidR="00F53AB1" w:rsidRPr="00A85FEA" w:rsidRDefault="00F53AB1" w:rsidP="00D87929">
      <w:pPr>
        <w:rPr>
          <w:rFonts w:cs="Arial"/>
          <w:szCs w:val="22"/>
          <w:lang w:eastAsia="es-ES"/>
        </w:rPr>
      </w:pPr>
    </w:p>
    <w:p w14:paraId="7558A59A" w14:textId="77777777" w:rsidR="00F53AB1" w:rsidRPr="00A85FEA" w:rsidRDefault="00F53AB1" w:rsidP="00D87929">
      <w:pPr>
        <w:rPr>
          <w:rFonts w:cs="Arial"/>
          <w:szCs w:val="22"/>
          <w:lang w:eastAsia="es-ES"/>
        </w:rPr>
      </w:pPr>
      <w:r w:rsidRPr="00A85FEA">
        <w:rPr>
          <w:rFonts w:cs="Arial"/>
          <w:szCs w:val="22"/>
          <w:lang w:eastAsia="es-ES"/>
        </w:rPr>
        <w:t>Catálogo general de cuentas para entidades de gobierno, Capitulo 2 Descripciones y dinámicas.</w:t>
      </w:r>
    </w:p>
    <w:p w14:paraId="64D601A0" w14:textId="77777777" w:rsidR="00F53AB1" w:rsidRPr="00A85FEA" w:rsidRDefault="00F53AB1" w:rsidP="009862F8">
      <w:pPr>
        <w:pStyle w:val="Ttulo1"/>
        <w:rPr>
          <w:rFonts w:ascii="Arial" w:hAnsi="Arial" w:cs="Arial"/>
          <w:color w:val="auto"/>
          <w:sz w:val="22"/>
          <w:szCs w:val="22"/>
          <w:lang w:eastAsia="es-ES"/>
        </w:rPr>
      </w:pPr>
      <w:bookmarkStart w:id="187" w:name="_Toc525721483"/>
      <w:r w:rsidRPr="00A85FEA">
        <w:rPr>
          <w:rFonts w:ascii="Arial" w:hAnsi="Arial" w:cs="Arial"/>
          <w:color w:val="auto"/>
          <w:sz w:val="22"/>
          <w:szCs w:val="22"/>
          <w:lang w:eastAsia="es-ES"/>
        </w:rPr>
        <w:lastRenderedPageBreak/>
        <w:t>3.</w:t>
      </w:r>
      <w:r w:rsidRPr="00A85FEA">
        <w:rPr>
          <w:rFonts w:ascii="Arial" w:hAnsi="Arial" w:cs="Arial"/>
          <w:color w:val="auto"/>
          <w:sz w:val="22"/>
          <w:szCs w:val="22"/>
          <w:lang w:eastAsia="es-ES"/>
        </w:rPr>
        <w:tab/>
        <w:t>Alcance</w:t>
      </w:r>
      <w:bookmarkEnd w:id="187"/>
    </w:p>
    <w:p w14:paraId="01094619" w14:textId="77777777" w:rsidR="00F53AB1" w:rsidRPr="00A85FEA" w:rsidRDefault="00F53AB1" w:rsidP="00D87929">
      <w:pPr>
        <w:rPr>
          <w:rFonts w:cs="Arial"/>
          <w:szCs w:val="22"/>
          <w:highlight w:val="yellow"/>
          <w:lang w:eastAsia="es-ES"/>
        </w:rPr>
      </w:pPr>
    </w:p>
    <w:p w14:paraId="5BD2E0EE" w14:textId="77777777" w:rsidR="00F53AB1" w:rsidRPr="00A85FEA" w:rsidRDefault="00F53AB1" w:rsidP="009862F8">
      <w:pPr>
        <w:jc w:val="both"/>
        <w:rPr>
          <w:rFonts w:eastAsia="Calibri" w:cs="Arial"/>
          <w:szCs w:val="22"/>
        </w:rPr>
      </w:pPr>
      <w:r w:rsidRPr="00A85FEA">
        <w:rPr>
          <w:rFonts w:cs="Arial"/>
          <w:szCs w:val="22"/>
          <w:lang w:eastAsia="es-ES"/>
        </w:rPr>
        <w:t xml:space="preserve">Esta política aplica para las siguientes cuentas del patrimonio que maneja </w:t>
      </w:r>
      <w:r w:rsidRPr="00A85FEA">
        <w:rPr>
          <w:rFonts w:cs="Arial"/>
          <w:szCs w:val="22"/>
        </w:rPr>
        <w:t>la Corporación para el Desarrollo Sostenible del Norte y el Oriente Amazónico – CDA</w:t>
      </w:r>
      <w:r w:rsidRPr="00A85FEA">
        <w:rPr>
          <w:rFonts w:eastAsia="Calibri" w:cs="Arial"/>
          <w:szCs w:val="22"/>
        </w:rPr>
        <w:t>:</w:t>
      </w:r>
    </w:p>
    <w:p w14:paraId="440BFEFA" w14:textId="77777777" w:rsidR="00F53AB1" w:rsidRPr="00A85FEA" w:rsidRDefault="00F53AB1" w:rsidP="009862F8">
      <w:pPr>
        <w:jc w:val="both"/>
        <w:rPr>
          <w:rFonts w:cs="Arial"/>
          <w:szCs w:val="22"/>
          <w:lang w:eastAsia="es-ES"/>
        </w:rPr>
      </w:pPr>
    </w:p>
    <w:p w14:paraId="1B418D12" w14:textId="77777777" w:rsidR="00F53AB1" w:rsidRPr="00A85FEA" w:rsidRDefault="00F53AB1" w:rsidP="009862F8">
      <w:pPr>
        <w:jc w:val="both"/>
        <w:rPr>
          <w:rFonts w:cs="Arial"/>
          <w:szCs w:val="22"/>
        </w:rPr>
      </w:pPr>
      <w:r w:rsidRPr="00A85FEA">
        <w:rPr>
          <w:rFonts w:cs="Arial"/>
          <w:szCs w:val="22"/>
        </w:rPr>
        <w:t>Capital fiscal</w:t>
      </w:r>
    </w:p>
    <w:p w14:paraId="3CCDB39F" w14:textId="77777777" w:rsidR="00F53AB1" w:rsidRPr="00A85FEA" w:rsidRDefault="00F53AB1" w:rsidP="009862F8">
      <w:pPr>
        <w:jc w:val="both"/>
        <w:rPr>
          <w:rFonts w:cs="Arial"/>
          <w:szCs w:val="22"/>
        </w:rPr>
      </w:pPr>
      <w:r w:rsidRPr="00A85FEA">
        <w:rPr>
          <w:rFonts w:cs="Arial"/>
          <w:szCs w:val="22"/>
        </w:rPr>
        <w:t>Resultados de ejercicios anteriores</w:t>
      </w:r>
    </w:p>
    <w:p w14:paraId="3A70AA90" w14:textId="77777777" w:rsidR="00F53AB1" w:rsidRPr="00A85FEA" w:rsidRDefault="00F53AB1" w:rsidP="009862F8">
      <w:pPr>
        <w:jc w:val="both"/>
        <w:rPr>
          <w:rFonts w:cs="Arial"/>
          <w:szCs w:val="22"/>
        </w:rPr>
      </w:pPr>
      <w:r w:rsidRPr="00A85FEA">
        <w:rPr>
          <w:rFonts w:cs="Arial"/>
          <w:szCs w:val="22"/>
        </w:rPr>
        <w:t>Resultados del ejercicio</w:t>
      </w:r>
    </w:p>
    <w:p w14:paraId="0F4C1AF3" w14:textId="77777777" w:rsidR="00F53AB1" w:rsidRPr="00A85FEA" w:rsidRDefault="00F53AB1" w:rsidP="009862F8">
      <w:pPr>
        <w:jc w:val="both"/>
        <w:rPr>
          <w:rFonts w:cs="Arial"/>
          <w:szCs w:val="22"/>
        </w:rPr>
      </w:pPr>
      <w:r w:rsidRPr="00A85FEA">
        <w:rPr>
          <w:rFonts w:cs="Arial"/>
          <w:szCs w:val="22"/>
        </w:rPr>
        <w:t>Impactos por transición al nuevo marco de regulación</w:t>
      </w:r>
    </w:p>
    <w:p w14:paraId="75B29E70" w14:textId="77777777" w:rsidR="00F53AB1" w:rsidRPr="00A85FEA" w:rsidRDefault="00F53AB1" w:rsidP="009862F8">
      <w:pPr>
        <w:pStyle w:val="Ttulo1"/>
        <w:rPr>
          <w:rFonts w:ascii="Arial" w:hAnsi="Arial" w:cs="Arial"/>
          <w:color w:val="auto"/>
          <w:sz w:val="22"/>
          <w:szCs w:val="22"/>
          <w:lang w:eastAsia="es-ES"/>
        </w:rPr>
      </w:pPr>
      <w:bookmarkStart w:id="188" w:name="_Toc525721484"/>
      <w:r w:rsidRPr="00A85FEA">
        <w:rPr>
          <w:rFonts w:ascii="Arial" w:hAnsi="Arial" w:cs="Arial"/>
          <w:color w:val="auto"/>
          <w:sz w:val="22"/>
          <w:szCs w:val="22"/>
          <w:lang w:eastAsia="es-ES"/>
        </w:rPr>
        <w:t>4.</w:t>
      </w:r>
      <w:r w:rsidRPr="00A85FEA">
        <w:rPr>
          <w:rFonts w:ascii="Arial" w:hAnsi="Arial" w:cs="Arial"/>
          <w:color w:val="auto"/>
          <w:sz w:val="22"/>
          <w:szCs w:val="22"/>
          <w:lang w:eastAsia="es-ES"/>
        </w:rPr>
        <w:tab/>
        <w:t>Política Contable General</w:t>
      </w:r>
      <w:bookmarkEnd w:id="188"/>
    </w:p>
    <w:p w14:paraId="60751770" w14:textId="77777777" w:rsidR="00F53AB1" w:rsidRPr="00A85FEA" w:rsidRDefault="00F53AB1" w:rsidP="00D87929">
      <w:pPr>
        <w:rPr>
          <w:rFonts w:cs="Arial"/>
          <w:szCs w:val="22"/>
          <w:highlight w:val="yellow"/>
          <w:lang w:eastAsia="es-ES"/>
        </w:rPr>
      </w:pPr>
    </w:p>
    <w:p w14:paraId="0710FB22" w14:textId="77777777" w:rsidR="00F53AB1" w:rsidRPr="00A85FEA" w:rsidRDefault="00F53AB1" w:rsidP="009862F8">
      <w:pPr>
        <w:jc w:val="both"/>
        <w:rPr>
          <w:rFonts w:cs="Arial"/>
          <w:szCs w:val="22"/>
          <w:lang w:eastAsia="es-ES"/>
        </w:rPr>
      </w:pPr>
      <w:r w:rsidRPr="00A85FEA">
        <w:rPr>
          <w:rFonts w:cs="Arial"/>
          <w:szCs w:val="22"/>
          <w:lang w:eastAsia="es-ES"/>
        </w:rPr>
        <w:t xml:space="preserve">El patrimonio de </w:t>
      </w:r>
      <w:r w:rsidRPr="00A85FEA">
        <w:rPr>
          <w:rFonts w:cs="Arial"/>
          <w:szCs w:val="22"/>
        </w:rPr>
        <w:t>la Corporación para el Desarrollo Sostenible del Norte y el Oriente Amazónico – CDA</w:t>
      </w:r>
      <w:r w:rsidRPr="00A85FEA">
        <w:rPr>
          <w:rFonts w:cs="Arial"/>
          <w:szCs w:val="22"/>
          <w:lang w:eastAsia="es-ES"/>
        </w:rPr>
        <w:t xml:space="preserve"> está compuesto por </w:t>
      </w:r>
      <w:r w:rsidRPr="00A85FEA">
        <w:rPr>
          <w:rFonts w:cs="Arial"/>
          <w:szCs w:val="22"/>
        </w:rPr>
        <w:t>las cuentas que representan los recursos aportados para la creación y desarrollo de la entidad</w:t>
      </w:r>
      <w:r w:rsidRPr="00A85FEA">
        <w:rPr>
          <w:rFonts w:cs="Arial"/>
          <w:szCs w:val="22"/>
          <w:lang w:eastAsia="es-ES"/>
        </w:rPr>
        <w:t>, los resultados de ejercicios anteriores y el resultado del ejercicio. La cuenta Impactos por convergencia al nuevo marco de regulación se utiliza una sola vez en el momento de elaborar el estado de situación financiera de apertura o saldos iniciales del Nuevo Marco Normativo para Entidades de Gobierno y representa el valor de las afectaciones que sufrieron las cuentas del activo y pasivo en el proceso de convergencia.</w:t>
      </w:r>
    </w:p>
    <w:p w14:paraId="317EF9DB" w14:textId="77777777" w:rsidR="00F53AB1" w:rsidRPr="00A85FEA" w:rsidRDefault="00F53AB1" w:rsidP="00D87929">
      <w:pPr>
        <w:rPr>
          <w:rFonts w:cs="Arial"/>
          <w:szCs w:val="22"/>
          <w:lang w:eastAsia="es-ES"/>
        </w:rPr>
      </w:pPr>
    </w:p>
    <w:p w14:paraId="6F440A5E" w14:textId="77777777" w:rsidR="00F53AB1" w:rsidRPr="00A85FEA" w:rsidRDefault="00F53AB1" w:rsidP="009862F8">
      <w:pPr>
        <w:pStyle w:val="Ttulo1"/>
        <w:rPr>
          <w:rFonts w:ascii="Arial" w:hAnsi="Arial" w:cs="Arial"/>
          <w:color w:val="auto"/>
          <w:sz w:val="22"/>
          <w:szCs w:val="22"/>
          <w:lang w:eastAsia="es-ES"/>
        </w:rPr>
      </w:pPr>
      <w:bookmarkStart w:id="189" w:name="_Toc525721485"/>
      <w:r w:rsidRPr="00A85FEA">
        <w:rPr>
          <w:rFonts w:ascii="Arial" w:hAnsi="Arial" w:cs="Arial"/>
          <w:color w:val="auto"/>
          <w:sz w:val="22"/>
          <w:szCs w:val="22"/>
          <w:lang w:eastAsia="es-ES"/>
        </w:rPr>
        <w:t>4.1. Reconocimiento y medición inicial</w:t>
      </w:r>
      <w:bookmarkEnd w:id="189"/>
    </w:p>
    <w:p w14:paraId="204EA0C0" w14:textId="77777777" w:rsidR="00F53AB1" w:rsidRPr="00A85FEA" w:rsidRDefault="00F53AB1" w:rsidP="00D87929">
      <w:pPr>
        <w:rPr>
          <w:rFonts w:cs="Arial"/>
          <w:szCs w:val="22"/>
          <w:lang w:eastAsia="es-ES"/>
        </w:rPr>
      </w:pPr>
    </w:p>
    <w:p w14:paraId="0379AF1C" w14:textId="77777777" w:rsidR="00F53AB1" w:rsidRPr="00A85FEA" w:rsidRDefault="00F53AB1" w:rsidP="00D87929">
      <w:pPr>
        <w:rPr>
          <w:rFonts w:cs="Arial"/>
          <w:szCs w:val="22"/>
          <w:lang w:eastAsia="es-ES"/>
        </w:rPr>
      </w:pPr>
      <w:r w:rsidRPr="00A85FEA">
        <w:rPr>
          <w:rFonts w:cs="Arial"/>
          <w:szCs w:val="22"/>
          <w:lang w:eastAsia="es-ES"/>
        </w:rPr>
        <w:t xml:space="preserve">Se reconocen los resultados en el cierre del ejercicio. </w:t>
      </w:r>
    </w:p>
    <w:p w14:paraId="6E3F71FA" w14:textId="77777777" w:rsidR="00F53AB1" w:rsidRPr="00A85FEA" w:rsidRDefault="00F53AB1" w:rsidP="009862F8">
      <w:pPr>
        <w:pStyle w:val="Ttulo1"/>
        <w:rPr>
          <w:rFonts w:ascii="Arial" w:hAnsi="Arial" w:cs="Arial"/>
          <w:color w:val="auto"/>
          <w:sz w:val="22"/>
          <w:szCs w:val="22"/>
          <w:lang w:eastAsia="es-ES"/>
        </w:rPr>
      </w:pPr>
      <w:bookmarkStart w:id="190" w:name="_Toc525721486"/>
      <w:r w:rsidRPr="00A85FEA">
        <w:rPr>
          <w:rFonts w:ascii="Arial" w:hAnsi="Arial" w:cs="Arial"/>
          <w:color w:val="auto"/>
          <w:sz w:val="22"/>
          <w:szCs w:val="22"/>
          <w:lang w:eastAsia="es-ES"/>
        </w:rPr>
        <w:t>4.2. Medición posterior</w:t>
      </w:r>
      <w:bookmarkEnd w:id="190"/>
    </w:p>
    <w:p w14:paraId="1304757D" w14:textId="77777777" w:rsidR="00F53AB1" w:rsidRPr="00A85FEA" w:rsidRDefault="00F53AB1" w:rsidP="00D87929">
      <w:pPr>
        <w:rPr>
          <w:rFonts w:cs="Arial"/>
          <w:szCs w:val="22"/>
          <w:lang w:eastAsia="es-ES"/>
        </w:rPr>
      </w:pPr>
    </w:p>
    <w:p w14:paraId="2D1C0504" w14:textId="77777777" w:rsidR="00F53AB1" w:rsidRPr="00A85FEA" w:rsidRDefault="00F53AB1" w:rsidP="009862F8">
      <w:pPr>
        <w:jc w:val="both"/>
        <w:rPr>
          <w:rFonts w:cs="Arial"/>
          <w:szCs w:val="22"/>
          <w:lang w:eastAsia="es-ES"/>
        </w:rPr>
      </w:pPr>
      <w:r w:rsidRPr="00A85FEA">
        <w:rPr>
          <w:rFonts w:cs="Arial"/>
          <w:szCs w:val="22"/>
          <w:lang w:eastAsia="es-ES"/>
        </w:rPr>
        <w:t>Luego del cierre del ejercicio, al año siguiente el resultado del ejercicio se traslada a resultados de ejercicios anteriores.</w:t>
      </w:r>
    </w:p>
    <w:p w14:paraId="26F944AB" w14:textId="77777777" w:rsidR="00F53AB1" w:rsidRPr="00A85FEA" w:rsidRDefault="00F53AB1" w:rsidP="009862F8">
      <w:pPr>
        <w:pStyle w:val="Ttulo1"/>
        <w:rPr>
          <w:rFonts w:ascii="Arial" w:hAnsi="Arial" w:cs="Arial"/>
          <w:color w:val="auto"/>
          <w:sz w:val="22"/>
          <w:szCs w:val="22"/>
          <w:lang w:eastAsia="es-ES"/>
        </w:rPr>
      </w:pPr>
      <w:bookmarkStart w:id="191" w:name="_Toc525721487"/>
      <w:r w:rsidRPr="00A85FEA">
        <w:rPr>
          <w:rFonts w:ascii="Arial" w:hAnsi="Arial" w:cs="Arial"/>
          <w:color w:val="auto"/>
          <w:sz w:val="22"/>
          <w:szCs w:val="22"/>
          <w:lang w:eastAsia="es-ES"/>
        </w:rPr>
        <w:t>5.</w:t>
      </w:r>
      <w:r w:rsidRPr="00A85FEA">
        <w:rPr>
          <w:rFonts w:ascii="Arial" w:hAnsi="Arial" w:cs="Arial"/>
          <w:color w:val="auto"/>
          <w:sz w:val="22"/>
          <w:szCs w:val="22"/>
          <w:lang w:eastAsia="es-ES"/>
        </w:rPr>
        <w:tab/>
        <w:t>Controles Contables</w:t>
      </w:r>
      <w:bookmarkEnd w:id="191"/>
    </w:p>
    <w:p w14:paraId="43CC2245" w14:textId="77777777" w:rsidR="00F53AB1" w:rsidRPr="00A85FEA" w:rsidRDefault="00F53AB1" w:rsidP="00D87929">
      <w:pPr>
        <w:rPr>
          <w:rFonts w:cs="Arial"/>
          <w:szCs w:val="22"/>
          <w:lang w:eastAsia="es-ES"/>
        </w:rPr>
      </w:pPr>
    </w:p>
    <w:p w14:paraId="094B9C38" w14:textId="77777777" w:rsidR="00F53AB1" w:rsidRPr="00A85FEA" w:rsidRDefault="00F53AB1" w:rsidP="00D87929">
      <w:pPr>
        <w:rPr>
          <w:rFonts w:cs="Arial"/>
          <w:szCs w:val="22"/>
        </w:rPr>
      </w:pPr>
      <w:r w:rsidRPr="00A85FEA">
        <w:rPr>
          <w:rFonts w:cs="Arial"/>
          <w:szCs w:val="22"/>
        </w:rPr>
        <w:t xml:space="preserve">Cualquier variación disminuyendo el patrimonio debe estar debidamente soportada. </w:t>
      </w:r>
    </w:p>
    <w:p w14:paraId="34B4BA14" w14:textId="77777777" w:rsidR="00F53AB1" w:rsidRPr="00A85FEA" w:rsidRDefault="00F53AB1" w:rsidP="00D87929">
      <w:pPr>
        <w:rPr>
          <w:rFonts w:cs="Arial"/>
          <w:szCs w:val="22"/>
        </w:rPr>
      </w:pPr>
      <w:r w:rsidRPr="00A85FEA">
        <w:rPr>
          <w:rFonts w:cs="Arial"/>
          <w:szCs w:val="22"/>
        </w:rPr>
        <w:t xml:space="preserve">Verificar que la cuenta Convergencia a NIIF solo se utilice una sola vez en el momento de su implementación. </w:t>
      </w:r>
    </w:p>
    <w:p w14:paraId="145371C7" w14:textId="77777777" w:rsidR="00F53AB1" w:rsidRPr="00A85FEA" w:rsidRDefault="00F53AB1" w:rsidP="009862F8">
      <w:pPr>
        <w:pStyle w:val="Ttulo1"/>
        <w:rPr>
          <w:rFonts w:ascii="Arial" w:hAnsi="Arial" w:cs="Arial"/>
          <w:color w:val="auto"/>
          <w:sz w:val="22"/>
          <w:szCs w:val="22"/>
          <w:lang w:eastAsia="es-ES"/>
        </w:rPr>
      </w:pPr>
      <w:bookmarkStart w:id="192" w:name="_Toc525721488"/>
      <w:r w:rsidRPr="00A85FEA">
        <w:rPr>
          <w:rFonts w:ascii="Arial" w:hAnsi="Arial" w:cs="Arial"/>
          <w:color w:val="auto"/>
          <w:sz w:val="22"/>
          <w:szCs w:val="22"/>
          <w:lang w:eastAsia="es-ES"/>
        </w:rPr>
        <w:lastRenderedPageBreak/>
        <w:t>6.</w:t>
      </w:r>
      <w:r w:rsidRPr="00A85FEA">
        <w:rPr>
          <w:rFonts w:ascii="Arial" w:hAnsi="Arial" w:cs="Arial"/>
          <w:color w:val="auto"/>
          <w:sz w:val="22"/>
          <w:szCs w:val="22"/>
          <w:lang w:eastAsia="es-ES"/>
        </w:rPr>
        <w:tab/>
        <w:t>Revelaciones</w:t>
      </w:r>
      <w:bookmarkEnd w:id="192"/>
    </w:p>
    <w:p w14:paraId="604090F8" w14:textId="77777777" w:rsidR="00F53AB1" w:rsidRPr="00A85FEA" w:rsidRDefault="00F53AB1" w:rsidP="00D87929">
      <w:pPr>
        <w:rPr>
          <w:rFonts w:cs="Arial"/>
          <w:szCs w:val="22"/>
          <w:lang w:eastAsia="es-ES"/>
        </w:rPr>
      </w:pPr>
    </w:p>
    <w:p w14:paraId="28066458" w14:textId="77777777" w:rsidR="00F53AB1" w:rsidRPr="00A85FEA" w:rsidRDefault="00F53AB1" w:rsidP="00D87929">
      <w:pPr>
        <w:rPr>
          <w:rFonts w:cs="Arial"/>
          <w:szCs w:val="22"/>
        </w:rPr>
      </w:pPr>
      <w:r w:rsidRPr="00A85FEA">
        <w:rPr>
          <w:rFonts w:cs="Arial"/>
          <w:szCs w:val="22"/>
        </w:rPr>
        <w:t xml:space="preserve">Explicar en las notas a los estados financieros, las variaciones del patrimonio. </w:t>
      </w:r>
    </w:p>
    <w:p w14:paraId="18444D2D" w14:textId="77777777" w:rsidR="00F53AB1" w:rsidRPr="00A85FEA" w:rsidRDefault="00F53AB1" w:rsidP="00D87929">
      <w:pPr>
        <w:rPr>
          <w:rFonts w:cs="Arial"/>
          <w:szCs w:val="22"/>
        </w:rPr>
      </w:pPr>
    </w:p>
    <w:p w14:paraId="0F517C96" w14:textId="77777777" w:rsidR="00F53AB1" w:rsidRPr="00A85FEA" w:rsidRDefault="00F53AB1" w:rsidP="009862F8">
      <w:pPr>
        <w:pStyle w:val="Ttulo1"/>
        <w:jc w:val="center"/>
        <w:rPr>
          <w:rFonts w:ascii="Arial" w:hAnsi="Arial" w:cs="Arial"/>
          <w:color w:val="auto"/>
          <w:sz w:val="22"/>
          <w:szCs w:val="22"/>
          <w:shd w:val="clear" w:color="auto" w:fill="FFFFFF"/>
        </w:rPr>
      </w:pPr>
      <w:bookmarkStart w:id="193" w:name="_Toc525721489"/>
      <w:r w:rsidRPr="00A85FEA">
        <w:rPr>
          <w:rFonts w:ascii="Arial" w:hAnsi="Arial" w:cs="Arial"/>
          <w:color w:val="auto"/>
          <w:sz w:val="22"/>
          <w:szCs w:val="22"/>
          <w:shd w:val="clear" w:color="auto" w:fill="FFFFFF"/>
        </w:rPr>
        <w:t>VII. POLÍTICA DE INGRESOS</w:t>
      </w:r>
      <w:bookmarkEnd w:id="193"/>
    </w:p>
    <w:p w14:paraId="442533AD" w14:textId="77777777" w:rsidR="00F53AB1" w:rsidRPr="00A85FEA" w:rsidRDefault="00F53AB1" w:rsidP="009862F8">
      <w:pPr>
        <w:pStyle w:val="Ttulo1"/>
        <w:rPr>
          <w:rStyle w:val="apple-converted-space"/>
          <w:rFonts w:ascii="Arial" w:hAnsi="Arial" w:cs="Arial"/>
          <w:color w:val="auto"/>
          <w:sz w:val="22"/>
          <w:szCs w:val="22"/>
        </w:rPr>
      </w:pPr>
      <w:bookmarkStart w:id="194" w:name="_Toc525721490"/>
      <w:r w:rsidRPr="00A85FEA">
        <w:rPr>
          <w:rStyle w:val="apple-converted-space"/>
          <w:rFonts w:ascii="Arial" w:hAnsi="Arial" w:cs="Arial"/>
          <w:color w:val="auto"/>
          <w:sz w:val="22"/>
          <w:szCs w:val="22"/>
        </w:rPr>
        <w:t>1. INGRESOS SIN CONTRAPRESTACION</w:t>
      </w:r>
      <w:bookmarkEnd w:id="194"/>
    </w:p>
    <w:p w14:paraId="623C3BA1" w14:textId="77777777" w:rsidR="00F53AB1" w:rsidRPr="00A85FEA" w:rsidRDefault="00F53AB1" w:rsidP="009862F8">
      <w:pPr>
        <w:pStyle w:val="Ttulo1"/>
        <w:rPr>
          <w:rFonts w:ascii="Arial" w:hAnsi="Arial" w:cs="Arial"/>
          <w:color w:val="auto"/>
          <w:sz w:val="22"/>
          <w:szCs w:val="22"/>
          <w:shd w:val="clear" w:color="auto" w:fill="FFFFFF"/>
        </w:rPr>
      </w:pPr>
      <w:r w:rsidRPr="00A85FEA">
        <w:rPr>
          <w:rStyle w:val="apple-converted-space"/>
          <w:rFonts w:ascii="Arial" w:hAnsi="Arial" w:cs="Arial"/>
          <w:color w:val="auto"/>
          <w:sz w:val="22"/>
          <w:szCs w:val="22"/>
          <w:shd w:val="clear" w:color="auto" w:fill="FFFFFF"/>
        </w:rPr>
        <w:t> </w:t>
      </w:r>
      <w:bookmarkStart w:id="195" w:name="_Toc525721491"/>
      <w:r w:rsidRPr="00A85FEA">
        <w:rPr>
          <w:rFonts w:ascii="Arial" w:hAnsi="Arial" w:cs="Arial"/>
          <w:color w:val="auto"/>
          <w:sz w:val="22"/>
          <w:szCs w:val="22"/>
          <w:shd w:val="clear" w:color="auto" w:fill="FFFFFF"/>
        </w:rPr>
        <w:t>1.1. Objetivo</w:t>
      </w:r>
      <w:bookmarkEnd w:id="195"/>
    </w:p>
    <w:p w14:paraId="3BC869C7" w14:textId="77777777" w:rsidR="00F53AB1" w:rsidRPr="00A85FEA" w:rsidRDefault="00F53AB1" w:rsidP="00D87929">
      <w:pPr>
        <w:rPr>
          <w:rFonts w:cs="Arial"/>
          <w:szCs w:val="22"/>
          <w:shd w:val="clear" w:color="auto" w:fill="FFFFFF"/>
        </w:rPr>
      </w:pPr>
    </w:p>
    <w:p w14:paraId="128ECC6A" w14:textId="77777777" w:rsidR="00F53AB1" w:rsidRPr="00A85FEA" w:rsidRDefault="00F53AB1" w:rsidP="009862F8">
      <w:pPr>
        <w:jc w:val="both"/>
        <w:rPr>
          <w:rFonts w:cs="Arial"/>
          <w:strike/>
          <w:szCs w:val="22"/>
          <w:shd w:val="clear" w:color="auto" w:fill="FFFFFF"/>
        </w:rPr>
      </w:pPr>
      <w:r w:rsidRPr="00A85FEA">
        <w:rPr>
          <w:rFonts w:cs="Arial"/>
          <w:szCs w:val="22"/>
          <w:shd w:val="clear" w:color="auto" w:fill="FFFFFF"/>
        </w:rPr>
        <w:t xml:space="preserve">Establecer las bases contables para el reconocimiento, medición, presentación y revelación de la información relacionada con los ingresos sin contraprestación generados en el curso de las actividades ordinarias de </w:t>
      </w:r>
      <w:r w:rsidRPr="00A85FEA">
        <w:rPr>
          <w:rFonts w:cs="Arial"/>
          <w:szCs w:val="22"/>
        </w:rPr>
        <w:t>la Corporación para el Desarrollo Sostenible del Norte y el Oriente Amazónico – CDA.</w:t>
      </w:r>
    </w:p>
    <w:p w14:paraId="0B44BF2D" w14:textId="77777777" w:rsidR="00F53AB1" w:rsidRPr="00A85FEA" w:rsidRDefault="00F53AB1" w:rsidP="009862F8">
      <w:pPr>
        <w:pStyle w:val="Ttulo1"/>
        <w:rPr>
          <w:rFonts w:ascii="Arial" w:hAnsi="Arial" w:cs="Arial"/>
          <w:color w:val="auto"/>
          <w:sz w:val="22"/>
          <w:szCs w:val="22"/>
        </w:rPr>
      </w:pPr>
      <w:bookmarkStart w:id="196" w:name="_Toc525721492"/>
      <w:r w:rsidRPr="00A85FEA">
        <w:rPr>
          <w:rFonts w:ascii="Arial" w:hAnsi="Arial" w:cs="Arial"/>
          <w:color w:val="auto"/>
          <w:sz w:val="22"/>
          <w:szCs w:val="22"/>
        </w:rPr>
        <w:t>1.2. Normatividad relacionada</w:t>
      </w:r>
      <w:bookmarkEnd w:id="196"/>
    </w:p>
    <w:p w14:paraId="6766CB75" w14:textId="77777777" w:rsidR="00F53AB1" w:rsidRPr="00A85FEA" w:rsidRDefault="00F53AB1" w:rsidP="00D87929">
      <w:pPr>
        <w:rPr>
          <w:rFonts w:cs="Arial"/>
          <w:bCs/>
          <w:szCs w:val="22"/>
          <w:shd w:val="clear" w:color="auto" w:fill="FFFFFF"/>
        </w:rPr>
      </w:pPr>
    </w:p>
    <w:p w14:paraId="6D98247D" w14:textId="77777777" w:rsidR="00F53AB1" w:rsidRPr="00A85FEA" w:rsidRDefault="00F53AB1" w:rsidP="009862F8">
      <w:pPr>
        <w:jc w:val="both"/>
        <w:rPr>
          <w:rFonts w:cs="Arial"/>
          <w:szCs w:val="22"/>
        </w:rPr>
      </w:pPr>
      <w:r w:rsidRPr="00A85FEA">
        <w:rPr>
          <w:rFonts w:cs="Arial"/>
          <w:szCs w:val="22"/>
        </w:rPr>
        <w:t>Normas para el Reconocimiento, Medición, Revelación y Presentación de los Hechos Económicos de las entidades de Gobierno, Capítulo IV. Ingresos, Numeral 1. Ingresos sin contraprestación.</w:t>
      </w:r>
    </w:p>
    <w:p w14:paraId="00BCB937" w14:textId="77777777" w:rsidR="00F53AB1" w:rsidRPr="00A85FEA" w:rsidRDefault="00F53AB1" w:rsidP="009862F8">
      <w:pPr>
        <w:pStyle w:val="Ttulo1"/>
        <w:rPr>
          <w:rFonts w:ascii="Arial" w:hAnsi="Arial" w:cs="Arial"/>
          <w:color w:val="auto"/>
          <w:sz w:val="22"/>
          <w:szCs w:val="22"/>
          <w:shd w:val="clear" w:color="auto" w:fill="FFFFFF"/>
        </w:rPr>
      </w:pPr>
      <w:bookmarkStart w:id="197" w:name="_Toc525721493"/>
      <w:r w:rsidRPr="00A85FEA">
        <w:rPr>
          <w:rFonts w:ascii="Arial" w:hAnsi="Arial" w:cs="Arial"/>
          <w:color w:val="auto"/>
          <w:sz w:val="22"/>
          <w:szCs w:val="22"/>
          <w:shd w:val="clear" w:color="auto" w:fill="FFFFFF"/>
        </w:rPr>
        <w:t>1.3. Alcance</w:t>
      </w:r>
      <w:bookmarkEnd w:id="197"/>
    </w:p>
    <w:p w14:paraId="631A1260" w14:textId="77777777" w:rsidR="00F53AB1" w:rsidRPr="00A85FEA" w:rsidRDefault="00F53AB1" w:rsidP="00607B87">
      <w:pPr>
        <w:jc w:val="both"/>
        <w:rPr>
          <w:rFonts w:cs="Arial"/>
          <w:bCs/>
          <w:szCs w:val="22"/>
          <w:shd w:val="clear" w:color="auto" w:fill="FFFFFF"/>
        </w:rPr>
      </w:pPr>
    </w:p>
    <w:p w14:paraId="7A3FCAD5" w14:textId="77777777" w:rsidR="00F53AB1" w:rsidRPr="00A85FEA" w:rsidRDefault="00F53AB1" w:rsidP="00607B87">
      <w:pPr>
        <w:jc w:val="both"/>
        <w:rPr>
          <w:rFonts w:cs="Arial"/>
          <w:szCs w:val="22"/>
        </w:rPr>
      </w:pPr>
      <w:r w:rsidRPr="00A85FEA">
        <w:rPr>
          <w:rFonts w:cs="Arial"/>
          <w:bCs/>
          <w:szCs w:val="22"/>
          <w:shd w:val="clear" w:color="auto" w:fill="FFFFFF"/>
        </w:rPr>
        <w:t xml:space="preserve">Esta política aplica para los siguientes ingresos que </w:t>
      </w:r>
      <w:r w:rsidRPr="00A85FEA">
        <w:rPr>
          <w:rFonts w:cs="Arial"/>
          <w:szCs w:val="22"/>
        </w:rPr>
        <w:t>la Corporación para el Desarrollo Sostenible del Norte y el Oriente Amazónico – CDA obtiene sin contraprestación:</w:t>
      </w:r>
    </w:p>
    <w:p w14:paraId="7C555080" w14:textId="77777777" w:rsidR="00F53AB1" w:rsidRPr="00A85FEA" w:rsidRDefault="00F53AB1" w:rsidP="00D87929">
      <w:pPr>
        <w:rPr>
          <w:rFonts w:cs="Arial"/>
          <w:strike/>
          <w:szCs w:val="22"/>
          <w:shd w:val="clear" w:color="auto" w:fill="FFFFFF"/>
        </w:rPr>
      </w:pPr>
    </w:p>
    <w:p w14:paraId="6FFE39E8" w14:textId="77777777" w:rsidR="00F53AB1" w:rsidRPr="00A85FEA" w:rsidRDefault="00F53AB1" w:rsidP="00D87929">
      <w:pPr>
        <w:rPr>
          <w:rFonts w:cs="Arial"/>
          <w:szCs w:val="22"/>
        </w:rPr>
      </w:pPr>
      <w:r w:rsidRPr="00A85FEA">
        <w:rPr>
          <w:rFonts w:cs="Arial"/>
          <w:szCs w:val="22"/>
        </w:rPr>
        <w:t>Transferencias</w:t>
      </w:r>
    </w:p>
    <w:p w14:paraId="0700596B" w14:textId="77777777" w:rsidR="00F53AB1" w:rsidRPr="00A85FEA" w:rsidRDefault="00F53AB1" w:rsidP="00D87929">
      <w:pPr>
        <w:rPr>
          <w:rFonts w:cs="Arial"/>
          <w:szCs w:val="22"/>
        </w:rPr>
      </w:pPr>
      <w:r w:rsidRPr="00A85FEA">
        <w:rPr>
          <w:rFonts w:cs="Arial"/>
          <w:szCs w:val="22"/>
        </w:rPr>
        <w:t>Las retribuciones (tasas, derechos de explotación)</w:t>
      </w:r>
    </w:p>
    <w:p w14:paraId="33731325" w14:textId="77777777" w:rsidR="00F53AB1" w:rsidRPr="00A85FEA" w:rsidRDefault="00F53AB1" w:rsidP="00D87929">
      <w:pPr>
        <w:rPr>
          <w:rFonts w:cs="Arial"/>
          <w:szCs w:val="22"/>
        </w:rPr>
      </w:pPr>
      <w:r w:rsidRPr="00A85FEA">
        <w:rPr>
          <w:rFonts w:cs="Arial"/>
          <w:szCs w:val="22"/>
        </w:rPr>
        <w:t>Evaluación y seguimiento</w:t>
      </w:r>
    </w:p>
    <w:p w14:paraId="60B251E6" w14:textId="77777777" w:rsidR="00F53AB1" w:rsidRPr="00A85FEA" w:rsidRDefault="00F53AB1" w:rsidP="00D87929">
      <w:pPr>
        <w:rPr>
          <w:rFonts w:cs="Arial"/>
          <w:szCs w:val="22"/>
        </w:rPr>
      </w:pPr>
      <w:r w:rsidRPr="00A85FEA">
        <w:rPr>
          <w:rFonts w:cs="Arial"/>
          <w:szCs w:val="22"/>
        </w:rPr>
        <w:t>Multas</w:t>
      </w:r>
    </w:p>
    <w:p w14:paraId="33FCCE21" w14:textId="77777777" w:rsidR="00F53AB1" w:rsidRPr="00A85FEA" w:rsidRDefault="00F53AB1" w:rsidP="00D87929">
      <w:pPr>
        <w:rPr>
          <w:rFonts w:cs="Arial"/>
          <w:szCs w:val="22"/>
        </w:rPr>
      </w:pPr>
      <w:r w:rsidRPr="00A85FEA">
        <w:rPr>
          <w:rFonts w:cs="Arial"/>
          <w:szCs w:val="22"/>
        </w:rPr>
        <w:t>Sanciones</w:t>
      </w:r>
    </w:p>
    <w:p w14:paraId="047C9F35" w14:textId="77777777" w:rsidR="00F53AB1" w:rsidRPr="00A85FEA" w:rsidRDefault="00F53AB1" w:rsidP="00D87929">
      <w:pPr>
        <w:rPr>
          <w:rFonts w:cs="Arial"/>
          <w:szCs w:val="22"/>
        </w:rPr>
      </w:pPr>
      <w:r w:rsidRPr="00A85FEA">
        <w:rPr>
          <w:rFonts w:cs="Arial"/>
          <w:szCs w:val="22"/>
        </w:rPr>
        <w:t>Porcentaje y sobretasa ambiental al impuesto predial</w:t>
      </w:r>
      <w:r w:rsidRPr="00A85FEA">
        <w:rPr>
          <w:rFonts w:cs="Arial"/>
          <w:szCs w:val="22"/>
          <w:lang w:eastAsia="es-CO"/>
        </w:rPr>
        <w:t xml:space="preserve"> </w:t>
      </w:r>
    </w:p>
    <w:p w14:paraId="3BF47837" w14:textId="77777777" w:rsidR="00F53AB1" w:rsidRPr="00A85FEA" w:rsidRDefault="00F53AB1" w:rsidP="009862F8">
      <w:pPr>
        <w:pStyle w:val="Ttulo1"/>
        <w:rPr>
          <w:rFonts w:ascii="Arial" w:hAnsi="Arial" w:cs="Arial"/>
          <w:color w:val="auto"/>
          <w:sz w:val="22"/>
          <w:szCs w:val="22"/>
          <w:shd w:val="clear" w:color="auto" w:fill="FFFFFF"/>
        </w:rPr>
      </w:pPr>
      <w:bookmarkStart w:id="198" w:name="_Toc525721494"/>
      <w:r w:rsidRPr="00A85FEA">
        <w:rPr>
          <w:rFonts w:ascii="Arial" w:hAnsi="Arial" w:cs="Arial"/>
          <w:color w:val="auto"/>
          <w:sz w:val="22"/>
          <w:szCs w:val="22"/>
          <w:shd w:val="clear" w:color="auto" w:fill="FFFFFF"/>
        </w:rPr>
        <w:t>1.4. Política Contable General</w:t>
      </w:r>
      <w:bookmarkEnd w:id="198"/>
    </w:p>
    <w:p w14:paraId="2CB4A628" w14:textId="77777777" w:rsidR="00F53AB1" w:rsidRPr="00A85FEA" w:rsidRDefault="00F53AB1" w:rsidP="00D87929">
      <w:pPr>
        <w:rPr>
          <w:rFonts w:cs="Arial"/>
          <w:szCs w:val="22"/>
        </w:rPr>
      </w:pPr>
    </w:p>
    <w:p w14:paraId="29570DA5" w14:textId="77777777" w:rsidR="00F53AB1" w:rsidRPr="00A85FEA" w:rsidRDefault="00F53AB1" w:rsidP="009862F8">
      <w:pPr>
        <w:jc w:val="both"/>
        <w:rPr>
          <w:rFonts w:cs="Arial"/>
          <w:szCs w:val="22"/>
        </w:rPr>
      </w:pPr>
      <w:r w:rsidRPr="00A85FEA">
        <w:rPr>
          <w:rFonts w:cs="Arial"/>
          <w:szCs w:val="22"/>
        </w:rPr>
        <w:lastRenderedPageBreak/>
        <w:t xml:space="preserve">Se reconocerán como ingresos de transacciones sin contraprestación, los recursos, monetarios o no monetarios, que reciba la Corporación para el Desarrollo Sostenible del Norte y el Oriente Amazónico – CDA sin que deba entregar a cambio una contraprestación que se aproxime al valor de mercado del recurso que se recibe, es decir, la entidad no entrega nada a cambio del recurso recibido o, si lo hace, el valor entregado es significativamente menor al valor de mercado del recurso recibido. También se reconocerán como ingresos de transacciones sin contraprestación aquellos que obtenga la entidad dada la facultad legal que esta tenga para exigir cobros a cambio de bienes, derechos o servicios que no tienen valor de mercado y que son suministrados únicamente por el gobierno. </w:t>
      </w:r>
    </w:p>
    <w:p w14:paraId="0BB346DD" w14:textId="77777777" w:rsidR="00F53AB1" w:rsidRPr="00A85FEA" w:rsidRDefault="00F53AB1" w:rsidP="009862F8">
      <w:pPr>
        <w:jc w:val="both"/>
        <w:rPr>
          <w:rFonts w:cs="Arial"/>
          <w:szCs w:val="22"/>
        </w:rPr>
      </w:pPr>
    </w:p>
    <w:p w14:paraId="77B2508B" w14:textId="77777777" w:rsidR="00F53AB1" w:rsidRPr="00A85FEA" w:rsidRDefault="00F53AB1" w:rsidP="009862F8">
      <w:pPr>
        <w:jc w:val="both"/>
        <w:rPr>
          <w:rFonts w:cs="Arial"/>
          <w:szCs w:val="22"/>
        </w:rPr>
      </w:pPr>
      <w:r w:rsidRPr="00A85FEA">
        <w:rPr>
          <w:rFonts w:cs="Arial"/>
          <w:szCs w:val="22"/>
        </w:rPr>
        <w:t>Los recursos que reciba la entidad a favor de terceros no se reconocerán como ingresos de transacciones sin contraprestación, sino como pasivos.</w:t>
      </w:r>
    </w:p>
    <w:p w14:paraId="0EC8D08C" w14:textId="77777777" w:rsidR="00F53AB1" w:rsidRPr="00A85FEA" w:rsidRDefault="00F53AB1" w:rsidP="009862F8">
      <w:pPr>
        <w:jc w:val="both"/>
        <w:rPr>
          <w:rFonts w:cs="Arial"/>
          <w:szCs w:val="22"/>
        </w:rPr>
      </w:pPr>
    </w:p>
    <w:p w14:paraId="48F53BA3" w14:textId="77777777" w:rsidR="00F53AB1" w:rsidRPr="00A85FEA" w:rsidRDefault="00F53AB1" w:rsidP="009862F8">
      <w:pPr>
        <w:jc w:val="both"/>
        <w:rPr>
          <w:rFonts w:cs="Arial"/>
          <w:szCs w:val="22"/>
        </w:rPr>
      </w:pPr>
      <w:r w:rsidRPr="00A85FEA">
        <w:rPr>
          <w:rFonts w:cs="Arial"/>
          <w:szCs w:val="22"/>
        </w:rPr>
        <w:t xml:space="preserve">La Corporación para el Desarrollo Sostenible del Norte y el Oriente Amazónico – CDA obtiene los siguientes conceptos de ingresos sin contraprestación: Transferencias, retribuciones, </w:t>
      </w:r>
    </w:p>
    <w:p w14:paraId="02FDBF93" w14:textId="77777777" w:rsidR="00F53AB1" w:rsidRPr="00A85FEA" w:rsidRDefault="00F53AB1" w:rsidP="009862F8">
      <w:pPr>
        <w:pStyle w:val="Ttulo1"/>
        <w:rPr>
          <w:rFonts w:ascii="Arial" w:hAnsi="Arial" w:cs="Arial"/>
          <w:color w:val="auto"/>
          <w:sz w:val="22"/>
          <w:szCs w:val="22"/>
        </w:rPr>
      </w:pPr>
      <w:bookmarkStart w:id="199" w:name="_Toc525721495"/>
      <w:r w:rsidRPr="00A85FEA">
        <w:rPr>
          <w:rFonts w:ascii="Arial" w:hAnsi="Arial" w:cs="Arial"/>
          <w:color w:val="auto"/>
          <w:sz w:val="22"/>
          <w:szCs w:val="22"/>
        </w:rPr>
        <w:t>1.5. Transferencias</w:t>
      </w:r>
      <w:bookmarkEnd w:id="199"/>
      <w:r w:rsidRPr="00A85FEA">
        <w:rPr>
          <w:rFonts w:ascii="Arial" w:hAnsi="Arial" w:cs="Arial"/>
          <w:color w:val="auto"/>
          <w:sz w:val="22"/>
          <w:szCs w:val="22"/>
        </w:rPr>
        <w:t xml:space="preserve"> </w:t>
      </w:r>
    </w:p>
    <w:p w14:paraId="5BAB1855" w14:textId="77777777" w:rsidR="00F53AB1" w:rsidRPr="00A85FEA" w:rsidRDefault="00F53AB1" w:rsidP="00D87929">
      <w:pPr>
        <w:rPr>
          <w:rFonts w:cs="Arial"/>
          <w:szCs w:val="22"/>
        </w:rPr>
      </w:pPr>
    </w:p>
    <w:p w14:paraId="4DD15BFB" w14:textId="77777777" w:rsidR="00F53AB1" w:rsidRPr="00A85FEA" w:rsidRDefault="00F53AB1" w:rsidP="009862F8">
      <w:pPr>
        <w:jc w:val="both"/>
        <w:rPr>
          <w:rFonts w:cs="Arial"/>
          <w:szCs w:val="22"/>
        </w:rPr>
      </w:pPr>
      <w:r w:rsidRPr="00A85FEA">
        <w:rPr>
          <w:rFonts w:cs="Arial"/>
          <w:szCs w:val="22"/>
        </w:rPr>
        <w:t xml:space="preserve">Los ingresos por transferencias corresponden a ingresos por transacciones sin contraprestación, recibidos de terceros, por conceptos tales como: recursos que recibe la entidad de otras entidades públicas, condonaciones de deudas, asunción de deudas por parte de terceros, bienes declarados a favor de la Nación, bienes expropiados y donaciones. </w:t>
      </w:r>
    </w:p>
    <w:p w14:paraId="73C29AA0" w14:textId="77777777" w:rsidR="00F53AB1" w:rsidRPr="00A85FEA" w:rsidRDefault="00F53AB1" w:rsidP="00D87929">
      <w:pPr>
        <w:rPr>
          <w:rFonts w:cs="Arial"/>
          <w:szCs w:val="22"/>
        </w:rPr>
      </w:pPr>
    </w:p>
    <w:p w14:paraId="0BB2E24A" w14:textId="77777777" w:rsidR="00F53AB1" w:rsidRPr="00A85FEA" w:rsidRDefault="00F53AB1" w:rsidP="00D87929">
      <w:pPr>
        <w:rPr>
          <w:rFonts w:cs="Arial"/>
          <w:szCs w:val="22"/>
        </w:rPr>
      </w:pPr>
      <w:r w:rsidRPr="00A85FEA">
        <w:rPr>
          <w:rFonts w:cs="Arial"/>
          <w:szCs w:val="22"/>
        </w:rPr>
        <w:t xml:space="preserve">1.5.1. Reconocimiento </w:t>
      </w:r>
    </w:p>
    <w:p w14:paraId="689FF597" w14:textId="77777777" w:rsidR="00F53AB1" w:rsidRPr="00A85FEA" w:rsidRDefault="00F53AB1" w:rsidP="00D87929">
      <w:pPr>
        <w:rPr>
          <w:rFonts w:cs="Arial"/>
          <w:szCs w:val="22"/>
        </w:rPr>
      </w:pPr>
    </w:p>
    <w:p w14:paraId="5B9D9159" w14:textId="77777777" w:rsidR="00F53AB1" w:rsidRPr="00A85FEA" w:rsidRDefault="00F53AB1" w:rsidP="009862F8">
      <w:pPr>
        <w:jc w:val="both"/>
        <w:rPr>
          <w:rFonts w:cs="Arial"/>
          <w:szCs w:val="22"/>
        </w:rPr>
      </w:pPr>
      <w:r w:rsidRPr="00A85FEA">
        <w:rPr>
          <w:rFonts w:cs="Arial"/>
          <w:szCs w:val="22"/>
        </w:rPr>
        <w:t xml:space="preserve">Los ingresos por transferencias pueden o no estar sometidos a estipulaciones, en relación con la aplicación o el uso de los recursos recibidos. Dichas estipulaciones afectan el reconocimiento de la transacción. </w:t>
      </w:r>
    </w:p>
    <w:p w14:paraId="46DDE7F6" w14:textId="77777777" w:rsidR="00F53AB1" w:rsidRPr="00A85FEA" w:rsidRDefault="00F53AB1" w:rsidP="009862F8">
      <w:pPr>
        <w:jc w:val="both"/>
        <w:rPr>
          <w:rFonts w:cs="Arial"/>
          <w:szCs w:val="22"/>
        </w:rPr>
      </w:pPr>
      <w:r w:rsidRPr="00A85FEA">
        <w:rPr>
          <w:rFonts w:cs="Arial"/>
          <w:szCs w:val="22"/>
        </w:rPr>
        <w:br/>
        <w:t xml:space="preserve">Las estipulaciones comprenden las especificaciones sobre el uso o destinación de los recursos transferidos a la entidad receptora de los mismos, las cuales se originan en la normatividad vigente o en acuerdos de carácter vinculante. Las estipulaciones relacionadas con un activo transferido pueden ser restricciones o condiciones. </w:t>
      </w:r>
    </w:p>
    <w:p w14:paraId="4A18A008" w14:textId="77777777" w:rsidR="00F53AB1" w:rsidRPr="00A85FEA" w:rsidRDefault="00F53AB1" w:rsidP="009862F8">
      <w:pPr>
        <w:jc w:val="both"/>
        <w:rPr>
          <w:rFonts w:cs="Arial"/>
          <w:szCs w:val="22"/>
        </w:rPr>
      </w:pPr>
    </w:p>
    <w:p w14:paraId="2DC040AD" w14:textId="77777777" w:rsidR="00F53AB1" w:rsidRPr="00A85FEA" w:rsidRDefault="00F53AB1" w:rsidP="00D87929">
      <w:pPr>
        <w:rPr>
          <w:rFonts w:cs="Arial"/>
          <w:szCs w:val="22"/>
        </w:rPr>
      </w:pPr>
      <w:r w:rsidRPr="00A85FEA">
        <w:rPr>
          <w:rFonts w:cs="Arial"/>
          <w:szCs w:val="22"/>
        </w:rPr>
        <w:t>1.5.1.1. Reconocimiento de un ingreso</w:t>
      </w:r>
    </w:p>
    <w:p w14:paraId="437E0AA8" w14:textId="77777777" w:rsidR="00F53AB1" w:rsidRPr="00A85FEA" w:rsidRDefault="00F53AB1" w:rsidP="00D87929">
      <w:pPr>
        <w:rPr>
          <w:rFonts w:cs="Arial"/>
          <w:szCs w:val="22"/>
        </w:rPr>
      </w:pPr>
    </w:p>
    <w:p w14:paraId="556BB8C1" w14:textId="77777777" w:rsidR="00F53AB1" w:rsidRPr="00A85FEA" w:rsidRDefault="00F53AB1" w:rsidP="009862F8">
      <w:pPr>
        <w:jc w:val="both"/>
        <w:rPr>
          <w:rFonts w:cs="Arial"/>
          <w:szCs w:val="22"/>
        </w:rPr>
      </w:pPr>
      <w:r w:rsidRPr="00A85FEA">
        <w:rPr>
          <w:rFonts w:cs="Arial"/>
          <w:szCs w:val="22"/>
        </w:rPr>
        <w:t xml:space="preserve">Existen restricciones cuando se requiere que la entidad receptora de los recursos, los use o destine a una finalidad particular, sin que ello implique que dichos recursos se devuelvan al cedente en el caso de que se incumpla la estipulación. En este caso, si la </w:t>
      </w:r>
      <w:r w:rsidRPr="00A85FEA">
        <w:rPr>
          <w:rFonts w:cs="Arial"/>
          <w:szCs w:val="22"/>
        </w:rPr>
        <w:lastRenderedPageBreak/>
        <w:t xml:space="preserve">entidad beneficiaria del recurso transferido evalúa que su transferencia le impone simplemente restricciones, reconocerá un ingreso en el resultado del periodo cuando se den las condiciones de control del recurso. Si la entidad beneficiaria de un recurso transferido evalúa que la transferencia del recurso no impone estipulaciones, reconocerá un ingreso en el resultado del periodo cuando se den las condiciones de control del recurso. </w:t>
      </w:r>
    </w:p>
    <w:p w14:paraId="209BA945" w14:textId="77777777" w:rsidR="00F53AB1" w:rsidRPr="00A85FEA" w:rsidRDefault="00F53AB1" w:rsidP="009862F8">
      <w:pPr>
        <w:jc w:val="both"/>
        <w:rPr>
          <w:rFonts w:cs="Arial"/>
          <w:szCs w:val="22"/>
        </w:rPr>
      </w:pPr>
    </w:p>
    <w:p w14:paraId="0EB977CA" w14:textId="77777777" w:rsidR="00F53AB1" w:rsidRPr="00A85FEA" w:rsidRDefault="00F53AB1" w:rsidP="009862F8">
      <w:pPr>
        <w:jc w:val="both"/>
        <w:rPr>
          <w:rFonts w:cs="Arial"/>
          <w:szCs w:val="22"/>
        </w:rPr>
      </w:pPr>
      <w:r w:rsidRPr="00A85FEA">
        <w:rPr>
          <w:rFonts w:cs="Arial"/>
          <w:szCs w:val="22"/>
        </w:rPr>
        <w:t xml:space="preserve">Las transferencias en efectivo entre entidades de gobierno se reconocerán como ingreso en el resultado del periodo cuando la entidad cedente expida el acto administrativo de reconocimiento de la obligación por concepto de la transferencia, salvo que esta esté sujeta a condiciones, caso en el cual se reconocerá un pasivo. </w:t>
      </w:r>
    </w:p>
    <w:p w14:paraId="7C352AF0" w14:textId="77777777" w:rsidR="00F53AB1" w:rsidRPr="00A85FEA" w:rsidRDefault="00F53AB1" w:rsidP="00D87929">
      <w:pPr>
        <w:rPr>
          <w:rFonts w:cs="Arial"/>
          <w:szCs w:val="22"/>
        </w:rPr>
      </w:pPr>
    </w:p>
    <w:p w14:paraId="1EBD3FFC" w14:textId="77777777" w:rsidR="00F53AB1" w:rsidRPr="00A85FEA" w:rsidRDefault="00F53AB1" w:rsidP="00D87929">
      <w:pPr>
        <w:rPr>
          <w:rFonts w:cs="Arial"/>
          <w:szCs w:val="22"/>
        </w:rPr>
      </w:pPr>
      <w:r w:rsidRPr="00A85FEA">
        <w:rPr>
          <w:rFonts w:cs="Arial"/>
          <w:szCs w:val="22"/>
        </w:rPr>
        <w:t>1.5.1.2. Reconocimiento de un pasivo</w:t>
      </w:r>
    </w:p>
    <w:p w14:paraId="5D4C77B1" w14:textId="77777777" w:rsidR="00F53AB1" w:rsidRPr="00A85FEA" w:rsidRDefault="00F53AB1" w:rsidP="00D87929">
      <w:pPr>
        <w:rPr>
          <w:rFonts w:cs="Arial"/>
          <w:szCs w:val="22"/>
        </w:rPr>
      </w:pPr>
    </w:p>
    <w:p w14:paraId="5998B6A3" w14:textId="77777777" w:rsidR="00F53AB1" w:rsidRPr="00A85FEA" w:rsidRDefault="00F53AB1" w:rsidP="009862F8">
      <w:pPr>
        <w:jc w:val="both"/>
        <w:rPr>
          <w:rFonts w:cs="Arial"/>
          <w:szCs w:val="22"/>
        </w:rPr>
      </w:pPr>
      <w:r w:rsidRPr="00A85FEA">
        <w:rPr>
          <w:rFonts w:cs="Arial"/>
          <w:szCs w:val="22"/>
        </w:rPr>
        <w:t xml:space="preserve">Existen condiciones cuando se requiere que la entidad receptora de los recursos los use o destine a una finalidad particular y si esto no ocurre, dichos recursos se devuelven a la entidad que los transfirió, quien tiene la facultad administrativa o legal de hacer exigible la devolución. Por consiguiente, cuando una entidad receptora de los recursos reconozca inicialmente un activo sujeto a una condición, también reconocerá un pasivo. El pasivo inicialmente reconocido se reducirá en la medida que la entidad receptora del recurso cumpla las condiciones asociadas a su uso o destinación, momento en el cual se reconocerá el ingreso en el resultado del periodo. </w:t>
      </w:r>
    </w:p>
    <w:p w14:paraId="52A37649" w14:textId="77777777" w:rsidR="00F53AB1" w:rsidRPr="00A85FEA" w:rsidRDefault="00F53AB1" w:rsidP="00D87929">
      <w:pPr>
        <w:rPr>
          <w:rFonts w:cs="Arial"/>
          <w:szCs w:val="22"/>
        </w:rPr>
      </w:pPr>
    </w:p>
    <w:p w14:paraId="63FDBE03" w14:textId="77777777" w:rsidR="00F53AB1" w:rsidRPr="00A85FEA" w:rsidRDefault="00F53AB1" w:rsidP="00D87929">
      <w:pPr>
        <w:rPr>
          <w:rFonts w:cs="Arial"/>
          <w:szCs w:val="22"/>
        </w:rPr>
      </w:pPr>
      <w:r w:rsidRPr="00A85FEA">
        <w:rPr>
          <w:rFonts w:cs="Arial"/>
          <w:szCs w:val="22"/>
        </w:rPr>
        <w:t>1.5.1.3. Acuerdo contractual vinculante</w:t>
      </w:r>
    </w:p>
    <w:p w14:paraId="186F5DB9" w14:textId="77777777" w:rsidR="00F53AB1" w:rsidRPr="00A85FEA" w:rsidRDefault="00F53AB1" w:rsidP="00D87929">
      <w:pPr>
        <w:rPr>
          <w:rFonts w:cs="Arial"/>
          <w:szCs w:val="22"/>
        </w:rPr>
      </w:pPr>
    </w:p>
    <w:p w14:paraId="036B3384" w14:textId="77777777" w:rsidR="00F53AB1" w:rsidRPr="00A85FEA" w:rsidRDefault="00F53AB1" w:rsidP="009862F8">
      <w:pPr>
        <w:jc w:val="both"/>
        <w:rPr>
          <w:rFonts w:cs="Arial"/>
          <w:szCs w:val="22"/>
        </w:rPr>
      </w:pPr>
      <w:r w:rsidRPr="00A85FEA">
        <w:rPr>
          <w:rFonts w:cs="Arial"/>
          <w:szCs w:val="22"/>
        </w:rPr>
        <w:t>La capacidad de excluir o restringir el acceso de terceros a los beneficios económicos o al potencial de servicio de un activo es un elemento esencial de control que distingue los activos de la entidad de aquellos bienes a los que todas las entidades tienen acceso y de los que se benefician. En los casos en los cuales se requiera un acuerdo de transferencia antes de que los recursos puedan ser</w:t>
      </w:r>
      <w:r w:rsidRPr="00A85FEA">
        <w:rPr>
          <w:rFonts w:cs="Arial"/>
          <w:bCs/>
          <w:szCs w:val="22"/>
          <w:shd w:val="clear" w:color="auto" w:fill="FFFFFF"/>
        </w:rPr>
        <w:t xml:space="preserve"> </w:t>
      </w:r>
      <w:r w:rsidRPr="00A85FEA">
        <w:rPr>
          <w:rFonts w:cs="Arial"/>
          <w:szCs w:val="22"/>
        </w:rPr>
        <w:t xml:space="preserve">transferidos, la entidad receptora de los recursos no los reconocerá como activos hasta el momento en que el acuerdo sea vinculante y esté claro el derecho a la transferencia. Si la entidad no tiene capacidad de reclamar legal o contractualmente los recursos, no los reconocerá como activo. </w:t>
      </w:r>
    </w:p>
    <w:p w14:paraId="42A3EFFF" w14:textId="77777777" w:rsidR="00F53AB1" w:rsidRPr="00A85FEA" w:rsidRDefault="00F53AB1" w:rsidP="009862F8">
      <w:pPr>
        <w:jc w:val="both"/>
        <w:rPr>
          <w:rFonts w:cs="Arial"/>
          <w:szCs w:val="22"/>
        </w:rPr>
      </w:pPr>
    </w:p>
    <w:p w14:paraId="263AE773" w14:textId="77777777" w:rsidR="00F53AB1" w:rsidRPr="00A85FEA" w:rsidRDefault="00F53AB1" w:rsidP="009862F8">
      <w:pPr>
        <w:jc w:val="both"/>
        <w:rPr>
          <w:rFonts w:cs="Arial"/>
          <w:szCs w:val="22"/>
        </w:rPr>
      </w:pPr>
      <w:r w:rsidRPr="00A85FEA">
        <w:rPr>
          <w:rFonts w:cs="Arial"/>
          <w:szCs w:val="22"/>
        </w:rPr>
        <w:t xml:space="preserve">En consecuencia, solo se reconocerá el activo, y el ingreso o pasivo correspondiente, cuando exista un derecho exigible por ley o por acuerdo contractual vinculante y cuando la entidad evalúe que es probable que la entrada de recursos ocurra. </w:t>
      </w:r>
    </w:p>
    <w:p w14:paraId="3CCDEA23" w14:textId="77777777" w:rsidR="00F53AB1" w:rsidRPr="00A85FEA" w:rsidRDefault="00F53AB1" w:rsidP="009862F8">
      <w:pPr>
        <w:jc w:val="both"/>
        <w:rPr>
          <w:rFonts w:cs="Arial"/>
          <w:szCs w:val="22"/>
        </w:rPr>
      </w:pPr>
    </w:p>
    <w:p w14:paraId="429C25DE" w14:textId="77777777" w:rsidR="00F53AB1" w:rsidRPr="00A85FEA" w:rsidRDefault="00F53AB1" w:rsidP="009862F8">
      <w:pPr>
        <w:jc w:val="both"/>
        <w:rPr>
          <w:rFonts w:cs="Arial"/>
          <w:szCs w:val="22"/>
        </w:rPr>
      </w:pPr>
      <w:r w:rsidRPr="00A85FEA">
        <w:rPr>
          <w:rFonts w:cs="Arial"/>
          <w:szCs w:val="22"/>
        </w:rPr>
        <w:t xml:space="preserve">Las condonaciones de deudas se reconocerán como ingreso en el resultado del periodo cuando el proveedor de capital renuncie a su derecho de cobrar una deuda en la que haya incurrido la entidad. </w:t>
      </w:r>
    </w:p>
    <w:p w14:paraId="7B6597BA" w14:textId="77777777" w:rsidR="00F53AB1" w:rsidRPr="00A85FEA" w:rsidRDefault="00F53AB1" w:rsidP="009862F8">
      <w:pPr>
        <w:jc w:val="both"/>
        <w:rPr>
          <w:rFonts w:cs="Arial"/>
          <w:szCs w:val="22"/>
        </w:rPr>
      </w:pPr>
    </w:p>
    <w:p w14:paraId="037AB1DC" w14:textId="77777777" w:rsidR="00F53AB1" w:rsidRPr="00A85FEA" w:rsidRDefault="00F53AB1" w:rsidP="009862F8">
      <w:pPr>
        <w:jc w:val="both"/>
        <w:rPr>
          <w:rFonts w:cs="Arial"/>
          <w:szCs w:val="22"/>
        </w:rPr>
      </w:pPr>
      <w:r w:rsidRPr="00A85FEA">
        <w:rPr>
          <w:rFonts w:cs="Arial"/>
          <w:szCs w:val="22"/>
        </w:rPr>
        <w:lastRenderedPageBreak/>
        <w:t xml:space="preserve">Las deudas de la entidad asumidas por un tercero se reconocerán como ingreso en el resultado del periodo cuando este pague la obligación o cuando la asuma legal o contractualmente, siempre que no existan contragarantías. </w:t>
      </w:r>
    </w:p>
    <w:p w14:paraId="1505FEFF" w14:textId="77777777" w:rsidR="00F53AB1" w:rsidRPr="00A85FEA" w:rsidRDefault="00F53AB1" w:rsidP="009862F8">
      <w:pPr>
        <w:jc w:val="both"/>
        <w:rPr>
          <w:rFonts w:cs="Arial"/>
          <w:szCs w:val="22"/>
        </w:rPr>
      </w:pPr>
    </w:p>
    <w:p w14:paraId="22142759" w14:textId="77777777" w:rsidR="00F53AB1" w:rsidRPr="00A85FEA" w:rsidRDefault="00F53AB1" w:rsidP="009862F8">
      <w:pPr>
        <w:jc w:val="both"/>
        <w:rPr>
          <w:rFonts w:cs="Arial"/>
          <w:szCs w:val="22"/>
        </w:rPr>
      </w:pPr>
      <w:r w:rsidRPr="00A85FEA">
        <w:rPr>
          <w:rFonts w:cs="Arial"/>
          <w:szCs w:val="22"/>
        </w:rPr>
        <w:t xml:space="preserve">Los bienes que reciba la entidad de otras entidades del sector público y las donaciones se reconocerán como ingreso en el resultado del periodo, cuando quien transfiere el recurso se obligue, de manera vinculante, a la transferencia. </w:t>
      </w:r>
    </w:p>
    <w:p w14:paraId="7A364956" w14:textId="77777777" w:rsidR="00F53AB1" w:rsidRPr="00A85FEA" w:rsidRDefault="00F53AB1" w:rsidP="009862F8">
      <w:pPr>
        <w:jc w:val="both"/>
        <w:rPr>
          <w:rFonts w:cs="Arial"/>
          <w:szCs w:val="22"/>
        </w:rPr>
      </w:pPr>
    </w:p>
    <w:p w14:paraId="0FA85770" w14:textId="77777777" w:rsidR="00F53AB1" w:rsidRPr="00A85FEA" w:rsidRDefault="00F53AB1" w:rsidP="009862F8">
      <w:pPr>
        <w:jc w:val="both"/>
        <w:rPr>
          <w:rFonts w:cs="Arial"/>
          <w:szCs w:val="22"/>
        </w:rPr>
      </w:pPr>
      <w:r w:rsidRPr="00A85FEA">
        <w:rPr>
          <w:rFonts w:cs="Arial"/>
          <w:szCs w:val="22"/>
        </w:rPr>
        <w:t xml:space="preserve">Los bienes declarados a favor de la Nación y los expropiados se reconocerán como ingreso en el resultado del periodo, cuando la autoridad competente expida el acto administrativo o la sentencia judicial, según corresponda. </w:t>
      </w:r>
    </w:p>
    <w:p w14:paraId="482F2C71" w14:textId="77777777" w:rsidR="00F53AB1" w:rsidRPr="00A85FEA" w:rsidRDefault="00F53AB1" w:rsidP="009862F8">
      <w:pPr>
        <w:jc w:val="both"/>
        <w:rPr>
          <w:rFonts w:cs="Arial"/>
          <w:szCs w:val="22"/>
        </w:rPr>
      </w:pPr>
    </w:p>
    <w:p w14:paraId="54C8D333" w14:textId="77777777" w:rsidR="00F53AB1" w:rsidRPr="00A85FEA" w:rsidRDefault="00F53AB1" w:rsidP="009862F8">
      <w:pPr>
        <w:jc w:val="both"/>
        <w:rPr>
          <w:rFonts w:cs="Arial"/>
          <w:szCs w:val="22"/>
        </w:rPr>
      </w:pPr>
      <w:r w:rsidRPr="00A85FEA">
        <w:rPr>
          <w:rFonts w:cs="Arial"/>
          <w:szCs w:val="22"/>
        </w:rPr>
        <w:t xml:space="preserve">Los legados se reconocerán como ingreso en el resultado del periodo, cuando legalmente la entidad adquiera el derecho sobre ellos. </w:t>
      </w:r>
    </w:p>
    <w:p w14:paraId="375B37CD" w14:textId="77777777" w:rsidR="00F53AB1" w:rsidRPr="00A85FEA" w:rsidRDefault="00F53AB1" w:rsidP="00D87929">
      <w:pPr>
        <w:rPr>
          <w:rFonts w:cs="Arial"/>
          <w:szCs w:val="22"/>
        </w:rPr>
      </w:pPr>
    </w:p>
    <w:p w14:paraId="41787902" w14:textId="77777777" w:rsidR="00F53AB1" w:rsidRPr="00A85FEA" w:rsidRDefault="00F53AB1" w:rsidP="00D87929">
      <w:pPr>
        <w:rPr>
          <w:rFonts w:cs="Arial"/>
          <w:szCs w:val="22"/>
        </w:rPr>
      </w:pPr>
      <w:r w:rsidRPr="00A85FEA">
        <w:rPr>
          <w:rFonts w:cs="Arial"/>
          <w:szCs w:val="22"/>
        </w:rPr>
        <w:t xml:space="preserve">1.5.2. Medición </w:t>
      </w:r>
    </w:p>
    <w:p w14:paraId="45C70AC8" w14:textId="77777777" w:rsidR="00F53AB1" w:rsidRPr="00A85FEA" w:rsidRDefault="00F53AB1" w:rsidP="00D87929">
      <w:pPr>
        <w:rPr>
          <w:rFonts w:cs="Arial"/>
          <w:szCs w:val="22"/>
        </w:rPr>
      </w:pPr>
    </w:p>
    <w:p w14:paraId="7FF57850" w14:textId="77777777" w:rsidR="00F53AB1" w:rsidRPr="00A85FEA" w:rsidRDefault="00F53AB1" w:rsidP="009862F8">
      <w:pPr>
        <w:jc w:val="both"/>
        <w:rPr>
          <w:rFonts w:cs="Arial"/>
          <w:szCs w:val="22"/>
        </w:rPr>
      </w:pPr>
      <w:r w:rsidRPr="00A85FEA">
        <w:rPr>
          <w:rFonts w:cs="Arial"/>
          <w:szCs w:val="22"/>
        </w:rPr>
        <w:t xml:space="preserve">Las transferencias en efectivo se medirán por el valor recibido. En caso de que la transferencia se perciba en moneda extranjera, se aplicará lo señalado en la Norma de efectos de las variaciones en las tasas de cambio de la moneda extranjera. </w:t>
      </w:r>
    </w:p>
    <w:p w14:paraId="07159737" w14:textId="77777777" w:rsidR="00F53AB1" w:rsidRPr="00A85FEA" w:rsidRDefault="00F53AB1" w:rsidP="009862F8">
      <w:pPr>
        <w:jc w:val="both"/>
        <w:rPr>
          <w:rFonts w:cs="Arial"/>
          <w:szCs w:val="22"/>
        </w:rPr>
      </w:pPr>
    </w:p>
    <w:p w14:paraId="6256E016" w14:textId="77777777" w:rsidR="00F53AB1" w:rsidRPr="00A85FEA" w:rsidRDefault="00F53AB1" w:rsidP="009862F8">
      <w:pPr>
        <w:jc w:val="both"/>
        <w:rPr>
          <w:rFonts w:cs="Arial"/>
          <w:szCs w:val="22"/>
        </w:rPr>
      </w:pPr>
      <w:r w:rsidRPr="00A85FEA">
        <w:rPr>
          <w:rFonts w:cs="Arial"/>
          <w:szCs w:val="22"/>
        </w:rPr>
        <w:t xml:space="preserve">Las condonaciones de deudas y las deudas asumidas por terceros, se medirán por el valor de la deuda que sea condonada o asumida. </w:t>
      </w:r>
    </w:p>
    <w:p w14:paraId="39DF944B" w14:textId="77777777" w:rsidR="00F53AB1" w:rsidRPr="00A85FEA" w:rsidRDefault="00F53AB1" w:rsidP="00D87929">
      <w:pPr>
        <w:rPr>
          <w:rFonts w:cs="Arial"/>
          <w:szCs w:val="22"/>
        </w:rPr>
      </w:pPr>
    </w:p>
    <w:p w14:paraId="5148D517" w14:textId="77777777" w:rsidR="00F53AB1" w:rsidRPr="00A85FEA" w:rsidRDefault="00F53AB1" w:rsidP="009862F8">
      <w:pPr>
        <w:jc w:val="both"/>
        <w:rPr>
          <w:rFonts w:cs="Arial"/>
          <w:szCs w:val="22"/>
        </w:rPr>
      </w:pPr>
      <w:r w:rsidRPr="00A85FEA">
        <w:rPr>
          <w:rFonts w:cs="Arial"/>
          <w:szCs w:val="22"/>
        </w:rPr>
        <w:t xml:space="preserve">Las transferencias no monetarias (inventarios; propiedades, planta y equipo; propiedades de inversión; activos intangibles; bienes de uso público; y bienes históricos y culturales) se medirán por el valor de mercado del activo recibido y, en ausencia de este, por el costo de reposición. Si no es factible obtener alguna de las anteriores mediciones, las transferencias no monetarias se medirán por el valor en libros que tenía el activo en la entidad que transfirió el recurso. El valor de mercado y el costo de reposición se determinarán conforme a lo definido en el Marco Conceptual para estas bases de medición. </w:t>
      </w:r>
    </w:p>
    <w:p w14:paraId="7223B702" w14:textId="77777777" w:rsidR="00F53AB1" w:rsidRPr="00A85FEA" w:rsidRDefault="00F53AB1" w:rsidP="009862F8">
      <w:pPr>
        <w:jc w:val="both"/>
        <w:rPr>
          <w:rFonts w:cs="Arial"/>
          <w:bCs/>
          <w:szCs w:val="22"/>
          <w:shd w:val="clear" w:color="auto" w:fill="FFFFFF"/>
        </w:rPr>
      </w:pPr>
      <w:r w:rsidRPr="00A85FEA">
        <w:rPr>
          <w:rFonts w:cs="Arial"/>
          <w:szCs w:val="22"/>
        </w:rPr>
        <w:t>Cuando la transferencia esté sometida a condiciones, el pasivo se medirá inicialmente por el valor del activo reconocido y, posteriormente, por la mejor estimación del valor requerido para cancelar la obligación presente al cierre del periodo contable y la diferencia se reconocerá como ingreso o gasto en el resultado del periodo. La estimación tendrá en cuenta los riesgos y las incertidumbres relacionados con los sucesos que hacen que se reconozca un pasivo. Cuando el valor del dinero en el tiempo sea significativo, el pasivo se medirá por el valor presente del valor que se estima será necesario para cancelar la obligación.</w:t>
      </w:r>
    </w:p>
    <w:p w14:paraId="5F30B7E5" w14:textId="77777777" w:rsidR="00F53AB1" w:rsidRPr="00A85FEA" w:rsidRDefault="00F53AB1" w:rsidP="009862F8">
      <w:pPr>
        <w:pStyle w:val="Ttulo1"/>
        <w:rPr>
          <w:rFonts w:ascii="Arial" w:hAnsi="Arial" w:cs="Arial"/>
          <w:color w:val="auto"/>
          <w:sz w:val="22"/>
          <w:szCs w:val="22"/>
        </w:rPr>
      </w:pPr>
      <w:bookmarkStart w:id="200" w:name="_Toc525721496"/>
      <w:r w:rsidRPr="00A85FEA">
        <w:rPr>
          <w:rFonts w:ascii="Arial" w:hAnsi="Arial" w:cs="Arial"/>
          <w:color w:val="auto"/>
          <w:sz w:val="22"/>
          <w:szCs w:val="22"/>
        </w:rPr>
        <w:lastRenderedPageBreak/>
        <w:t>1.6. Retribuciones, multas y sanciones</w:t>
      </w:r>
      <w:bookmarkEnd w:id="200"/>
      <w:r w:rsidRPr="00A85FEA">
        <w:rPr>
          <w:rFonts w:ascii="Arial" w:hAnsi="Arial" w:cs="Arial"/>
          <w:color w:val="auto"/>
          <w:sz w:val="22"/>
          <w:szCs w:val="22"/>
        </w:rPr>
        <w:t xml:space="preserve"> </w:t>
      </w:r>
    </w:p>
    <w:p w14:paraId="6B0BA2E2" w14:textId="77777777" w:rsidR="00F53AB1" w:rsidRPr="00A85FEA" w:rsidRDefault="00F53AB1" w:rsidP="00D87929">
      <w:pPr>
        <w:rPr>
          <w:rFonts w:cs="Arial"/>
          <w:szCs w:val="22"/>
        </w:rPr>
      </w:pPr>
    </w:p>
    <w:p w14:paraId="38749803" w14:textId="77777777" w:rsidR="00F53AB1" w:rsidRPr="00A85FEA" w:rsidRDefault="00F53AB1" w:rsidP="009862F8">
      <w:pPr>
        <w:jc w:val="both"/>
        <w:rPr>
          <w:rFonts w:cs="Arial"/>
          <w:szCs w:val="22"/>
        </w:rPr>
      </w:pPr>
      <w:r w:rsidRPr="00A85FEA">
        <w:rPr>
          <w:rFonts w:cs="Arial"/>
          <w:szCs w:val="22"/>
        </w:rPr>
        <w:t xml:space="preserve">Los ingresos por retribuciones, multas y sanciones corresponden a ingresos sin contraprestación determinados en las disposiciones legales, que se originan, entre otros, en las retribuciones que efectúan los usuarios de un servicio a cargo del Estado, en los pagos obligatorios derivados de la relación laboral de entidades públicas y privadas, en los gravámenes que afectan a un determinado y único grupo social y económico los cuales se utilizan en su beneficio, y en los pagos obligatorios que efectúan terceros como consecuencia de la infracción a requerimientos legales. </w:t>
      </w:r>
    </w:p>
    <w:p w14:paraId="6BF871BF" w14:textId="77777777" w:rsidR="00F53AB1" w:rsidRPr="00A85FEA" w:rsidRDefault="00F53AB1" w:rsidP="00D87929">
      <w:pPr>
        <w:rPr>
          <w:rFonts w:cs="Arial"/>
          <w:szCs w:val="22"/>
        </w:rPr>
      </w:pPr>
    </w:p>
    <w:p w14:paraId="3530913E" w14:textId="77777777" w:rsidR="00F53AB1" w:rsidRPr="00A85FEA" w:rsidRDefault="00F53AB1" w:rsidP="00D87929">
      <w:pPr>
        <w:rPr>
          <w:rFonts w:cs="Arial"/>
          <w:szCs w:val="22"/>
        </w:rPr>
      </w:pPr>
      <w:r w:rsidRPr="00A85FEA">
        <w:rPr>
          <w:rFonts w:cs="Arial"/>
          <w:szCs w:val="22"/>
        </w:rPr>
        <w:t xml:space="preserve">1.6.1. Reconocimiento </w:t>
      </w:r>
    </w:p>
    <w:p w14:paraId="2340BDE2" w14:textId="77777777" w:rsidR="00F53AB1" w:rsidRPr="00A85FEA" w:rsidRDefault="00F53AB1" w:rsidP="00D87929">
      <w:pPr>
        <w:rPr>
          <w:rFonts w:cs="Arial"/>
          <w:szCs w:val="22"/>
        </w:rPr>
      </w:pPr>
    </w:p>
    <w:p w14:paraId="05C15016" w14:textId="77777777" w:rsidR="00F53AB1" w:rsidRPr="00A85FEA" w:rsidRDefault="00F53AB1" w:rsidP="009862F8">
      <w:pPr>
        <w:jc w:val="both"/>
        <w:rPr>
          <w:rFonts w:cs="Arial"/>
          <w:szCs w:val="22"/>
        </w:rPr>
      </w:pPr>
      <w:r w:rsidRPr="00A85FEA">
        <w:rPr>
          <w:rFonts w:cs="Arial"/>
          <w:szCs w:val="22"/>
        </w:rPr>
        <w:t xml:space="preserve">La Corporación para el Desarrollo Sostenible del Norte y el Oriente Amazónico – CDA reconocerá ingresos por retribuciones, cuando surja el derecho de cobro originado en liquidaciones privadas, en las liquidaciones oficiales y en los demás actos administrativos que liquiden obligaciones a cargo de los usuarios, una vez dichas liquidaciones oficiales y demás actos administrativos queden en firme, y en otros documentos que establezcan derechos de cobro a favor de la entidad. </w:t>
      </w:r>
    </w:p>
    <w:p w14:paraId="642A0C52" w14:textId="77777777" w:rsidR="00F53AB1" w:rsidRPr="00A85FEA" w:rsidRDefault="00F53AB1" w:rsidP="009862F8">
      <w:pPr>
        <w:jc w:val="both"/>
        <w:rPr>
          <w:rFonts w:cs="Arial"/>
          <w:szCs w:val="22"/>
        </w:rPr>
      </w:pPr>
    </w:p>
    <w:p w14:paraId="3C2785B3" w14:textId="77777777" w:rsidR="00F53AB1" w:rsidRPr="00A85FEA" w:rsidRDefault="00F53AB1" w:rsidP="009862F8">
      <w:pPr>
        <w:jc w:val="both"/>
        <w:rPr>
          <w:rFonts w:cs="Arial"/>
          <w:szCs w:val="22"/>
        </w:rPr>
      </w:pPr>
      <w:r w:rsidRPr="00A85FEA">
        <w:rPr>
          <w:rFonts w:cs="Arial"/>
          <w:szCs w:val="22"/>
        </w:rPr>
        <w:t xml:space="preserve">Las multas y sanciones se reconocerán como ingreso en el resultado del periodo cuando se presente la decisión de una autoridad competente, como consecuencia de la infracción a requerimientos legales, y contra esta decisión no proceda ningún recurso. </w:t>
      </w:r>
    </w:p>
    <w:p w14:paraId="5340EAAF" w14:textId="77777777" w:rsidR="00F53AB1" w:rsidRPr="00A85FEA" w:rsidRDefault="00F53AB1" w:rsidP="00D87929">
      <w:pPr>
        <w:rPr>
          <w:rFonts w:cs="Arial"/>
          <w:szCs w:val="22"/>
        </w:rPr>
      </w:pPr>
    </w:p>
    <w:p w14:paraId="7C78206D" w14:textId="77777777" w:rsidR="00F53AB1" w:rsidRPr="00A85FEA" w:rsidRDefault="00F53AB1" w:rsidP="00D87929">
      <w:pPr>
        <w:rPr>
          <w:rFonts w:cs="Arial"/>
          <w:szCs w:val="22"/>
        </w:rPr>
      </w:pPr>
      <w:r w:rsidRPr="00A85FEA">
        <w:rPr>
          <w:rFonts w:cs="Arial"/>
          <w:szCs w:val="22"/>
        </w:rPr>
        <w:t xml:space="preserve">1.6.2. Medición </w:t>
      </w:r>
    </w:p>
    <w:p w14:paraId="2780E22C" w14:textId="77777777" w:rsidR="00F53AB1" w:rsidRPr="00A85FEA" w:rsidRDefault="00F53AB1" w:rsidP="00D87929">
      <w:pPr>
        <w:rPr>
          <w:rFonts w:cs="Arial"/>
          <w:szCs w:val="22"/>
        </w:rPr>
      </w:pPr>
    </w:p>
    <w:p w14:paraId="16716D1B" w14:textId="77777777" w:rsidR="00F53AB1" w:rsidRPr="00A85FEA" w:rsidRDefault="00F53AB1" w:rsidP="009862F8">
      <w:pPr>
        <w:jc w:val="both"/>
        <w:rPr>
          <w:rFonts w:cs="Arial"/>
          <w:szCs w:val="22"/>
        </w:rPr>
      </w:pPr>
      <w:r w:rsidRPr="00A85FEA">
        <w:rPr>
          <w:rFonts w:cs="Arial"/>
          <w:szCs w:val="22"/>
        </w:rPr>
        <w:t>Los ingresos por retribuciones, se medirán por el valor determinado en las liquidaciones privadas, en las liquidaciones oficiales y en los demás actos administrativos que liquiden obligaciones a cargo de los usuarios y en otros documentos que establezcan derechos de cobro a favor de la entidad.</w:t>
      </w:r>
    </w:p>
    <w:p w14:paraId="1873645A" w14:textId="77777777" w:rsidR="00F53AB1" w:rsidRPr="00A85FEA" w:rsidRDefault="00F53AB1" w:rsidP="009862F8">
      <w:pPr>
        <w:jc w:val="both"/>
        <w:rPr>
          <w:rFonts w:cs="Arial"/>
          <w:szCs w:val="22"/>
        </w:rPr>
      </w:pPr>
    </w:p>
    <w:p w14:paraId="1DDD855F" w14:textId="77777777" w:rsidR="00F53AB1" w:rsidRPr="00A85FEA" w:rsidRDefault="00F53AB1" w:rsidP="009862F8">
      <w:pPr>
        <w:jc w:val="both"/>
        <w:rPr>
          <w:rFonts w:cs="Arial"/>
          <w:szCs w:val="22"/>
        </w:rPr>
      </w:pPr>
      <w:r w:rsidRPr="00A85FEA">
        <w:rPr>
          <w:rFonts w:cs="Arial"/>
          <w:szCs w:val="22"/>
        </w:rPr>
        <w:t>Las multas y sanciones se medirán por el valor liquidado en el acto administrativo proferido por la autoridad que imponga la multa o sanción.</w:t>
      </w:r>
    </w:p>
    <w:p w14:paraId="56525B96" w14:textId="77777777" w:rsidR="00F53AB1" w:rsidRPr="00A85FEA" w:rsidRDefault="00F53AB1" w:rsidP="009862F8">
      <w:pPr>
        <w:pStyle w:val="Ttulo1"/>
        <w:rPr>
          <w:rFonts w:ascii="Arial" w:hAnsi="Arial" w:cs="Arial"/>
          <w:color w:val="auto"/>
          <w:sz w:val="22"/>
          <w:szCs w:val="22"/>
        </w:rPr>
      </w:pPr>
      <w:bookmarkStart w:id="201" w:name="_Toc525721497"/>
      <w:r w:rsidRPr="00A85FEA">
        <w:rPr>
          <w:rFonts w:ascii="Arial" w:hAnsi="Arial" w:cs="Arial"/>
          <w:color w:val="auto"/>
          <w:sz w:val="22"/>
          <w:szCs w:val="22"/>
        </w:rPr>
        <w:t>1.7. Gestión de riesgo</w:t>
      </w:r>
      <w:bookmarkEnd w:id="201"/>
    </w:p>
    <w:p w14:paraId="30906DAC" w14:textId="77777777" w:rsidR="00F53AB1" w:rsidRPr="00A85FEA" w:rsidRDefault="00F53AB1" w:rsidP="00D87929">
      <w:pPr>
        <w:rPr>
          <w:rFonts w:cs="Arial"/>
          <w:bCs/>
          <w:szCs w:val="22"/>
          <w:shd w:val="clear" w:color="auto" w:fill="FFFFFF"/>
        </w:rPr>
      </w:pPr>
    </w:p>
    <w:p w14:paraId="2FCC33B5" w14:textId="77777777" w:rsidR="00F53AB1" w:rsidRPr="00A85FEA" w:rsidRDefault="00F53AB1" w:rsidP="00D87929">
      <w:pPr>
        <w:rPr>
          <w:rFonts w:cs="Arial"/>
          <w:bCs/>
          <w:szCs w:val="22"/>
          <w:shd w:val="clear" w:color="auto" w:fill="FFFFFF"/>
        </w:rPr>
      </w:pPr>
      <w:r w:rsidRPr="00A85FEA">
        <w:rPr>
          <w:rFonts w:cs="Arial"/>
          <w:bCs/>
          <w:szCs w:val="22"/>
          <w:shd w:val="clear" w:color="auto" w:fill="FFFFFF"/>
        </w:rPr>
        <w:t>La no causación o devengo de los ingresos; registro contable en el movimiento del efectivo</w:t>
      </w:r>
    </w:p>
    <w:p w14:paraId="47E86086" w14:textId="77777777" w:rsidR="00F53AB1" w:rsidRPr="00A85FEA" w:rsidRDefault="00F53AB1" w:rsidP="009862F8">
      <w:pPr>
        <w:pStyle w:val="Ttulo1"/>
        <w:rPr>
          <w:rFonts w:ascii="Arial" w:hAnsi="Arial" w:cs="Arial"/>
          <w:color w:val="auto"/>
          <w:sz w:val="22"/>
          <w:szCs w:val="22"/>
          <w:shd w:val="clear" w:color="auto" w:fill="FFFFFF"/>
        </w:rPr>
      </w:pPr>
      <w:bookmarkStart w:id="202" w:name="_Toc525721498"/>
      <w:r w:rsidRPr="00A85FEA">
        <w:rPr>
          <w:rFonts w:ascii="Arial" w:hAnsi="Arial" w:cs="Arial"/>
          <w:color w:val="auto"/>
          <w:sz w:val="22"/>
          <w:szCs w:val="22"/>
          <w:shd w:val="clear" w:color="auto" w:fill="FFFFFF"/>
        </w:rPr>
        <w:t>1.8. Controles Contables</w:t>
      </w:r>
      <w:bookmarkEnd w:id="202"/>
    </w:p>
    <w:p w14:paraId="38CBD03E" w14:textId="77777777" w:rsidR="00F53AB1" w:rsidRPr="00A85FEA" w:rsidRDefault="00F53AB1" w:rsidP="00D87929">
      <w:pPr>
        <w:rPr>
          <w:rStyle w:val="apple-converted-space"/>
          <w:rFonts w:cs="Arial"/>
          <w:szCs w:val="22"/>
          <w:shd w:val="clear" w:color="auto" w:fill="FFFFFF"/>
        </w:rPr>
      </w:pPr>
    </w:p>
    <w:p w14:paraId="7E00B303" w14:textId="77777777" w:rsidR="00F53AB1" w:rsidRPr="00A85FEA" w:rsidRDefault="00F53AB1" w:rsidP="00D87929">
      <w:pPr>
        <w:rPr>
          <w:rFonts w:cs="Arial"/>
          <w:szCs w:val="22"/>
          <w:shd w:val="clear" w:color="auto" w:fill="FFFFFF"/>
        </w:rPr>
      </w:pPr>
      <w:r w:rsidRPr="00A85FEA">
        <w:rPr>
          <w:rFonts w:cs="Arial"/>
          <w:szCs w:val="22"/>
          <w:shd w:val="clear" w:color="auto" w:fill="FFFFFF"/>
        </w:rPr>
        <w:t>Asegurar que se reconozcan todos los ingresos sin contraprestación del periodo.</w:t>
      </w:r>
    </w:p>
    <w:p w14:paraId="7BE067C8" w14:textId="77777777" w:rsidR="00F53AB1" w:rsidRPr="00A85FEA" w:rsidRDefault="00F53AB1" w:rsidP="009862F8">
      <w:pPr>
        <w:pStyle w:val="Ttulo1"/>
        <w:rPr>
          <w:rStyle w:val="apple-converted-space"/>
          <w:rFonts w:ascii="Arial" w:hAnsi="Arial" w:cs="Arial"/>
          <w:b w:val="0"/>
          <w:bCs w:val="0"/>
          <w:color w:val="auto"/>
          <w:sz w:val="22"/>
          <w:szCs w:val="22"/>
          <w:shd w:val="clear" w:color="auto" w:fill="FFFFFF"/>
        </w:rPr>
      </w:pPr>
      <w:bookmarkStart w:id="203" w:name="_Toc525721499"/>
      <w:r w:rsidRPr="00A85FEA">
        <w:rPr>
          <w:rFonts w:ascii="Arial" w:hAnsi="Arial" w:cs="Arial"/>
          <w:color w:val="auto"/>
          <w:sz w:val="22"/>
          <w:szCs w:val="22"/>
          <w:shd w:val="clear" w:color="auto" w:fill="FFFFFF"/>
        </w:rPr>
        <w:lastRenderedPageBreak/>
        <w:t>1.9. Revelaciones</w:t>
      </w:r>
      <w:bookmarkEnd w:id="203"/>
    </w:p>
    <w:p w14:paraId="6AFA60DC" w14:textId="77777777" w:rsidR="00F53AB1" w:rsidRPr="00A85FEA" w:rsidRDefault="00F53AB1" w:rsidP="00D87929">
      <w:pPr>
        <w:rPr>
          <w:rFonts w:cs="Arial"/>
          <w:b/>
          <w:bCs/>
          <w:szCs w:val="22"/>
          <w:shd w:val="clear" w:color="auto" w:fill="FFFFFF"/>
        </w:rPr>
      </w:pPr>
    </w:p>
    <w:p w14:paraId="2262C5D8" w14:textId="77777777" w:rsidR="00F53AB1" w:rsidRPr="00A85FEA" w:rsidRDefault="00F53AB1" w:rsidP="009862F8">
      <w:pPr>
        <w:jc w:val="both"/>
        <w:rPr>
          <w:rFonts w:cs="Arial"/>
          <w:szCs w:val="22"/>
        </w:rPr>
      </w:pPr>
      <w:r w:rsidRPr="00A85FEA">
        <w:rPr>
          <w:rFonts w:cs="Arial"/>
          <w:szCs w:val="22"/>
        </w:rPr>
        <w:t xml:space="preserve">La Corporación para el Desarrollo Sostenible del Norte y el Oriente Amazónico – CDA revelará la siguiente información: </w:t>
      </w:r>
    </w:p>
    <w:p w14:paraId="424CB4ED" w14:textId="77777777" w:rsidR="00F53AB1" w:rsidRPr="00A85FEA" w:rsidRDefault="00F53AB1" w:rsidP="009862F8">
      <w:pPr>
        <w:jc w:val="both"/>
        <w:rPr>
          <w:rFonts w:cs="Arial"/>
          <w:szCs w:val="22"/>
        </w:rPr>
      </w:pPr>
    </w:p>
    <w:p w14:paraId="13C5D08D" w14:textId="77777777" w:rsidR="00F53AB1" w:rsidRPr="00A85FEA" w:rsidRDefault="009862F8" w:rsidP="009862F8">
      <w:pPr>
        <w:jc w:val="both"/>
        <w:rPr>
          <w:rFonts w:cs="Arial"/>
          <w:szCs w:val="22"/>
        </w:rPr>
      </w:pPr>
      <w:r w:rsidRPr="00A85FEA">
        <w:rPr>
          <w:rFonts w:cs="Arial"/>
          <w:szCs w:val="22"/>
        </w:rPr>
        <w:t>El</w:t>
      </w:r>
      <w:r w:rsidR="00F53AB1" w:rsidRPr="00A85FEA">
        <w:rPr>
          <w:rFonts w:cs="Arial"/>
          <w:szCs w:val="22"/>
        </w:rPr>
        <w:t xml:space="preserve"> valor de los ingresos de transacciones sin contraprestación reconocidos durante el periodo contable mostrando, por separado, los impuestos, las transferencias, las retribuciones, detallando en cada uno, los principales conceptos</w:t>
      </w:r>
    </w:p>
    <w:p w14:paraId="26DE6CA5" w14:textId="77777777" w:rsidR="00F53AB1" w:rsidRPr="00A85FEA" w:rsidRDefault="009862F8" w:rsidP="009862F8">
      <w:pPr>
        <w:jc w:val="both"/>
        <w:rPr>
          <w:rFonts w:cs="Arial"/>
          <w:szCs w:val="22"/>
        </w:rPr>
      </w:pPr>
      <w:r w:rsidRPr="00A85FEA">
        <w:rPr>
          <w:rFonts w:cs="Arial"/>
          <w:szCs w:val="22"/>
        </w:rPr>
        <w:t>El</w:t>
      </w:r>
      <w:r w:rsidR="00F53AB1" w:rsidRPr="00A85FEA">
        <w:rPr>
          <w:rFonts w:cs="Arial"/>
          <w:szCs w:val="22"/>
        </w:rPr>
        <w:t xml:space="preserve"> valor de las cuentas por cobrar reconocidas con respecto a los ingresos sin contraprestación; </w:t>
      </w:r>
    </w:p>
    <w:p w14:paraId="3DFAAAFE" w14:textId="77777777" w:rsidR="00F53AB1" w:rsidRPr="00A85FEA" w:rsidRDefault="009862F8" w:rsidP="009862F8">
      <w:pPr>
        <w:jc w:val="both"/>
        <w:rPr>
          <w:rFonts w:cs="Arial"/>
          <w:szCs w:val="22"/>
        </w:rPr>
      </w:pPr>
      <w:r w:rsidRPr="00A85FEA">
        <w:rPr>
          <w:rFonts w:cs="Arial"/>
          <w:szCs w:val="22"/>
        </w:rPr>
        <w:t>El</w:t>
      </w:r>
      <w:r w:rsidR="00F53AB1" w:rsidRPr="00A85FEA">
        <w:rPr>
          <w:rFonts w:cs="Arial"/>
          <w:szCs w:val="22"/>
        </w:rPr>
        <w:t xml:space="preserve"> valor de los pasivos reconocidos originados en los recursos recibidos sujetos a condiciones; y</w:t>
      </w:r>
    </w:p>
    <w:p w14:paraId="547E9CD3" w14:textId="77777777" w:rsidR="00F53AB1" w:rsidRPr="00A85FEA" w:rsidRDefault="009862F8" w:rsidP="009862F8">
      <w:pPr>
        <w:jc w:val="both"/>
        <w:rPr>
          <w:rStyle w:val="apple-converted-space"/>
          <w:rFonts w:cs="Arial"/>
          <w:szCs w:val="22"/>
          <w:shd w:val="clear" w:color="auto" w:fill="FFFFFF"/>
        </w:rPr>
      </w:pPr>
      <w:r w:rsidRPr="00A85FEA">
        <w:rPr>
          <w:rFonts w:cs="Arial"/>
          <w:szCs w:val="22"/>
        </w:rPr>
        <w:t>La</w:t>
      </w:r>
      <w:r w:rsidR="00F53AB1" w:rsidRPr="00A85FEA">
        <w:rPr>
          <w:rFonts w:cs="Arial"/>
          <w:szCs w:val="22"/>
        </w:rPr>
        <w:t xml:space="preserve"> existencia de cualquier cobro anticipado con respecto a las transacciones sin contraprestación.</w:t>
      </w:r>
    </w:p>
    <w:p w14:paraId="18534098" w14:textId="77777777" w:rsidR="00F53AB1" w:rsidRPr="00A85FEA" w:rsidRDefault="00F53AB1" w:rsidP="00A85FEA">
      <w:pPr>
        <w:pStyle w:val="Ttulo1"/>
        <w:jc w:val="center"/>
        <w:rPr>
          <w:rFonts w:ascii="Arial" w:hAnsi="Arial" w:cs="Arial"/>
          <w:color w:val="auto"/>
          <w:sz w:val="22"/>
          <w:szCs w:val="22"/>
        </w:rPr>
      </w:pPr>
      <w:bookmarkStart w:id="204" w:name="_Toc525721500"/>
      <w:r w:rsidRPr="00A85FEA">
        <w:rPr>
          <w:rFonts w:ascii="Arial" w:hAnsi="Arial" w:cs="Arial"/>
          <w:color w:val="auto"/>
          <w:sz w:val="22"/>
          <w:szCs w:val="22"/>
        </w:rPr>
        <w:t>CAPÍTULO VII</w:t>
      </w:r>
      <w:r w:rsidR="00FC5C4A">
        <w:rPr>
          <w:rFonts w:ascii="Arial" w:hAnsi="Arial" w:cs="Arial"/>
          <w:color w:val="auto"/>
          <w:sz w:val="22"/>
          <w:szCs w:val="22"/>
        </w:rPr>
        <w:t>I</w:t>
      </w:r>
      <w:r w:rsidRPr="00A85FEA">
        <w:rPr>
          <w:rFonts w:ascii="Arial" w:hAnsi="Arial" w:cs="Arial"/>
          <w:color w:val="auto"/>
          <w:sz w:val="22"/>
          <w:szCs w:val="22"/>
        </w:rPr>
        <w:t>.</w:t>
      </w:r>
      <w:bookmarkEnd w:id="204"/>
    </w:p>
    <w:p w14:paraId="4CE1B6F3" w14:textId="77777777" w:rsidR="00F53AB1" w:rsidRPr="00A85FEA" w:rsidRDefault="00F53AB1" w:rsidP="00A85FEA">
      <w:pPr>
        <w:pStyle w:val="Ttulo1"/>
        <w:jc w:val="center"/>
        <w:rPr>
          <w:rFonts w:ascii="Arial" w:hAnsi="Arial" w:cs="Arial"/>
          <w:color w:val="auto"/>
          <w:sz w:val="22"/>
          <w:szCs w:val="22"/>
        </w:rPr>
      </w:pPr>
      <w:bookmarkStart w:id="205" w:name="_Toc525721501"/>
      <w:r w:rsidRPr="00A85FEA">
        <w:rPr>
          <w:rFonts w:ascii="Arial" w:hAnsi="Arial" w:cs="Arial"/>
          <w:color w:val="auto"/>
          <w:sz w:val="22"/>
          <w:szCs w:val="22"/>
        </w:rPr>
        <w:t>POLITICA PARA LA PRESENTACIÓN DE ESTADOS FINANCIEROS Y REVELACIONES</w:t>
      </w:r>
      <w:bookmarkEnd w:id="205"/>
    </w:p>
    <w:p w14:paraId="0A3456CE" w14:textId="77777777" w:rsidR="00F53AB1" w:rsidRPr="00A85FEA" w:rsidRDefault="00F53AB1" w:rsidP="00A85FEA">
      <w:pPr>
        <w:pStyle w:val="Ttulo1"/>
        <w:rPr>
          <w:rFonts w:ascii="Arial" w:hAnsi="Arial" w:cs="Arial"/>
          <w:color w:val="auto"/>
          <w:sz w:val="22"/>
          <w:szCs w:val="22"/>
        </w:rPr>
      </w:pPr>
      <w:bookmarkStart w:id="206" w:name="_Toc525721502"/>
      <w:r w:rsidRPr="00A85FEA">
        <w:rPr>
          <w:rFonts w:ascii="Arial" w:hAnsi="Arial" w:cs="Arial"/>
          <w:color w:val="auto"/>
          <w:sz w:val="22"/>
          <w:szCs w:val="22"/>
        </w:rPr>
        <w:t>1. PRESENTACIÓN DE ESTADOS FINANCIEROS</w:t>
      </w:r>
      <w:bookmarkEnd w:id="206"/>
      <w:r w:rsidRPr="00A85FEA">
        <w:rPr>
          <w:rFonts w:ascii="Arial" w:hAnsi="Arial" w:cs="Arial"/>
          <w:color w:val="auto"/>
          <w:sz w:val="22"/>
          <w:szCs w:val="22"/>
        </w:rPr>
        <w:t xml:space="preserve"> </w:t>
      </w:r>
    </w:p>
    <w:p w14:paraId="14F2DE1A" w14:textId="77777777" w:rsidR="00F53AB1" w:rsidRPr="00A85FEA" w:rsidRDefault="00F53AB1" w:rsidP="00A85FEA">
      <w:pPr>
        <w:pStyle w:val="Ttulo1"/>
        <w:rPr>
          <w:rFonts w:ascii="Arial" w:hAnsi="Arial" w:cs="Arial"/>
          <w:color w:val="auto"/>
          <w:sz w:val="22"/>
          <w:szCs w:val="22"/>
        </w:rPr>
      </w:pPr>
      <w:bookmarkStart w:id="207" w:name="_Toc525721503"/>
      <w:r w:rsidRPr="00A85FEA">
        <w:rPr>
          <w:rFonts w:ascii="Arial" w:hAnsi="Arial" w:cs="Arial"/>
          <w:color w:val="auto"/>
          <w:sz w:val="22"/>
          <w:szCs w:val="22"/>
        </w:rPr>
        <w:t>1.1. Objetivo</w:t>
      </w:r>
      <w:bookmarkEnd w:id="207"/>
    </w:p>
    <w:p w14:paraId="443F46F0" w14:textId="77777777" w:rsidR="00F53AB1" w:rsidRPr="00A85FEA" w:rsidRDefault="00F53AB1" w:rsidP="00D87929">
      <w:pPr>
        <w:rPr>
          <w:rFonts w:cs="Arial"/>
          <w:szCs w:val="22"/>
        </w:rPr>
      </w:pPr>
    </w:p>
    <w:p w14:paraId="4A914791" w14:textId="77777777" w:rsidR="00F53AB1" w:rsidRPr="00A85FEA" w:rsidRDefault="00F53AB1" w:rsidP="00A85FEA">
      <w:pPr>
        <w:jc w:val="both"/>
        <w:rPr>
          <w:rFonts w:cs="Arial"/>
          <w:bCs/>
          <w:iCs/>
          <w:szCs w:val="22"/>
        </w:rPr>
      </w:pPr>
      <w:r w:rsidRPr="00A85FEA">
        <w:rPr>
          <w:rFonts w:cs="Arial"/>
          <w:bCs/>
          <w:iCs/>
          <w:szCs w:val="22"/>
        </w:rPr>
        <w:t>Establecer las bases y lineamientos para la adecuada presentación de los estados financieros de propósito general de acuerdo con el marco normativo para entidades de gobierno.</w:t>
      </w:r>
    </w:p>
    <w:p w14:paraId="42737279" w14:textId="77777777" w:rsidR="00F53AB1" w:rsidRPr="00A85FEA" w:rsidRDefault="00F53AB1" w:rsidP="00A85FEA">
      <w:pPr>
        <w:pStyle w:val="Ttulo1"/>
        <w:rPr>
          <w:rFonts w:ascii="Arial" w:hAnsi="Arial" w:cs="Arial"/>
          <w:color w:val="auto"/>
          <w:sz w:val="22"/>
          <w:szCs w:val="22"/>
        </w:rPr>
      </w:pPr>
      <w:bookmarkStart w:id="208" w:name="_Toc525721504"/>
      <w:r w:rsidRPr="00A85FEA">
        <w:rPr>
          <w:rFonts w:ascii="Arial" w:hAnsi="Arial" w:cs="Arial"/>
          <w:color w:val="auto"/>
          <w:sz w:val="22"/>
          <w:szCs w:val="22"/>
        </w:rPr>
        <w:t>1.2. Normatividad relacionada</w:t>
      </w:r>
      <w:bookmarkEnd w:id="208"/>
    </w:p>
    <w:p w14:paraId="61FB5BE7" w14:textId="77777777" w:rsidR="00F53AB1" w:rsidRPr="00A85FEA" w:rsidRDefault="00F53AB1" w:rsidP="00A85FEA">
      <w:pPr>
        <w:jc w:val="both"/>
        <w:rPr>
          <w:rFonts w:cs="Arial"/>
          <w:bCs/>
          <w:iCs/>
          <w:szCs w:val="22"/>
        </w:rPr>
      </w:pPr>
    </w:p>
    <w:p w14:paraId="0301A5DB" w14:textId="77777777" w:rsidR="00F53AB1" w:rsidRPr="00A85FEA" w:rsidRDefault="00F53AB1" w:rsidP="00A85FEA">
      <w:pPr>
        <w:jc w:val="both"/>
        <w:rPr>
          <w:rFonts w:cs="Arial"/>
          <w:bCs/>
          <w:iCs/>
          <w:szCs w:val="22"/>
        </w:rPr>
      </w:pPr>
      <w:r w:rsidRPr="00A85FEA">
        <w:rPr>
          <w:rFonts w:cs="Arial"/>
          <w:szCs w:val="22"/>
        </w:rPr>
        <w:t>Normas para el Reconocimiento, Medición, Revelación y Presentación de los Hechos Económicos de las entidades de Gobierno, Capítulo VI. Normas para la presentación de estados financieros y revelaciones, Numeral 1. Presentación de estados financieros.</w:t>
      </w:r>
    </w:p>
    <w:p w14:paraId="71447C7A" w14:textId="77777777" w:rsidR="00F53AB1" w:rsidRPr="00A85FEA" w:rsidRDefault="00F53AB1" w:rsidP="00A85FEA">
      <w:pPr>
        <w:pStyle w:val="Ttulo1"/>
        <w:rPr>
          <w:rFonts w:ascii="Arial" w:hAnsi="Arial" w:cs="Arial"/>
          <w:color w:val="auto"/>
          <w:sz w:val="22"/>
          <w:szCs w:val="22"/>
        </w:rPr>
      </w:pPr>
      <w:bookmarkStart w:id="209" w:name="_Toc525721505"/>
      <w:r w:rsidRPr="00A85FEA">
        <w:rPr>
          <w:rFonts w:ascii="Arial" w:hAnsi="Arial" w:cs="Arial"/>
          <w:color w:val="auto"/>
          <w:sz w:val="22"/>
          <w:szCs w:val="22"/>
        </w:rPr>
        <w:t>1.3. Alcance</w:t>
      </w:r>
      <w:bookmarkEnd w:id="209"/>
    </w:p>
    <w:p w14:paraId="6B683DD2" w14:textId="77777777" w:rsidR="00F53AB1" w:rsidRPr="00A85FEA" w:rsidRDefault="00F53AB1" w:rsidP="00D87929">
      <w:pPr>
        <w:rPr>
          <w:rFonts w:cs="Arial"/>
          <w:bCs/>
          <w:iCs/>
          <w:szCs w:val="22"/>
        </w:rPr>
      </w:pPr>
    </w:p>
    <w:p w14:paraId="1918889E" w14:textId="77777777" w:rsidR="00F53AB1" w:rsidRPr="00A85FEA" w:rsidRDefault="00F53AB1" w:rsidP="00D87929">
      <w:pPr>
        <w:rPr>
          <w:rFonts w:cs="Arial"/>
          <w:bCs/>
          <w:iCs/>
          <w:szCs w:val="22"/>
        </w:rPr>
      </w:pPr>
      <w:r w:rsidRPr="00A85FEA">
        <w:rPr>
          <w:rFonts w:cs="Arial"/>
          <w:bCs/>
          <w:iCs/>
          <w:szCs w:val="22"/>
        </w:rPr>
        <w:lastRenderedPageBreak/>
        <w:t xml:space="preserve">Esta política aplica en la preparación y presentación de estados financieros de </w:t>
      </w:r>
      <w:r w:rsidRPr="00A85FEA">
        <w:rPr>
          <w:rFonts w:cs="Arial"/>
          <w:szCs w:val="22"/>
        </w:rPr>
        <w:t>la Corporación para el Desarrollo Sostenible del Norte y el Oriente Amazónico – CDA.</w:t>
      </w:r>
    </w:p>
    <w:p w14:paraId="5D3DDB74" w14:textId="77777777" w:rsidR="00F53AB1" w:rsidRPr="00A85FEA" w:rsidRDefault="00F53AB1" w:rsidP="00A85FEA">
      <w:pPr>
        <w:pStyle w:val="Ttulo1"/>
        <w:rPr>
          <w:rFonts w:ascii="Arial" w:hAnsi="Arial" w:cs="Arial"/>
          <w:color w:val="auto"/>
          <w:sz w:val="22"/>
          <w:szCs w:val="22"/>
        </w:rPr>
      </w:pPr>
      <w:bookmarkStart w:id="210" w:name="_Toc525721506"/>
      <w:r w:rsidRPr="00A85FEA">
        <w:rPr>
          <w:rFonts w:ascii="Arial" w:hAnsi="Arial" w:cs="Arial"/>
          <w:color w:val="auto"/>
          <w:sz w:val="22"/>
          <w:szCs w:val="22"/>
        </w:rPr>
        <w:t>1.4. Política contable general</w:t>
      </w:r>
      <w:bookmarkEnd w:id="210"/>
    </w:p>
    <w:p w14:paraId="2918EAFA" w14:textId="77777777" w:rsidR="00F53AB1" w:rsidRPr="00A85FEA" w:rsidRDefault="00F53AB1" w:rsidP="00D87929">
      <w:pPr>
        <w:rPr>
          <w:rFonts w:cs="Arial"/>
          <w:szCs w:val="22"/>
        </w:rPr>
      </w:pPr>
    </w:p>
    <w:p w14:paraId="3BFB39A2" w14:textId="77777777" w:rsidR="00F53AB1" w:rsidRPr="00A85FEA" w:rsidRDefault="00F53AB1" w:rsidP="00A85FEA">
      <w:pPr>
        <w:jc w:val="both"/>
        <w:rPr>
          <w:rFonts w:cs="Arial"/>
          <w:szCs w:val="22"/>
        </w:rPr>
      </w:pPr>
      <w:r w:rsidRPr="00A85FEA">
        <w:rPr>
          <w:rFonts w:cs="Arial"/>
          <w:szCs w:val="22"/>
        </w:rPr>
        <w:t>Los estados financieros con propósito de información general son aquellos que pretenden cubrir las necesidades de usuarios que no están en condiciones de exigir informes a la medida de sus necesidades específicas de información. La Corporación para el Desarrollo Sostenible del Norte y el Oriente Amazónico – CDA presenta estados financieros individuales.</w:t>
      </w:r>
    </w:p>
    <w:p w14:paraId="2FDEDA43" w14:textId="77777777" w:rsidR="00F53AB1" w:rsidRPr="00A85FEA" w:rsidRDefault="00F53AB1" w:rsidP="00A85FEA">
      <w:pPr>
        <w:pStyle w:val="Ttulo1"/>
        <w:rPr>
          <w:rFonts w:ascii="Arial" w:hAnsi="Arial" w:cs="Arial"/>
          <w:color w:val="auto"/>
          <w:sz w:val="22"/>
          <w:szCs w:val="22"/>
        </w:rPr>
      </w:pPr>
      <w:bookmarkStart w:id="211" w:name="_Toc525721507"/>
      <w:r w:rsidRPr="00A85FEA">
        <w:rPr>
          <w:rFonts w:ascii="Arial" w:hAnsi="Arial" w:cs="Arial"/>
          <w:color w:val="auto"/>
          <w:sz w:val="22"/>
          <w:szCs w:val="22"/>
        </w:rPr>
        <w:t>1.5. Finalidad de los estados financieros</w:t>
      </w:r>
      <w:bookmarkEnd w:id="211"/>
    </w:p>
    <w:p w14:paraId="13681116" w14:textId="77777777" w:rsidR="00F53AB1" w:rsidRPr="00A85FEA" w:rsidRDefault="00F53AB1" w:rsidP="00D87929">
      <w:pPr>
        <w:rPr>
          <w:rFonts w:cs="Arial"/>
          <w:szCs w:val="22"/>
        </w:rPr>
      </w:pPr>
    </w:p>
    <w:p w14:paraId="1A643D2E" w14:textId="77777777" w:rsidR="00F53AB1" w:rsidRPr="00A85FEA" w:rsidRDefault="00F53AB1" w:rsidP="00A85FEA">
      <w:pPr>
        <w:jc w:val="both"/>
        <w:rPr>
          <w:rFonts w:cs="Arial"/>
          <w:szCs w:val="22"/>
        </w:rPr>
      </w:pPr>
      <w:r w:rsidRPr="00A85FEA">
        <w:rPr>
          <w:rFonts w:cs="Arial"/>
          <w:szCs w:val="22"/>
        </w:rPr>
        <w:t xml:space="preserve">Los estados financieros constituyen una representación estructurada de la situación financiera, del rendimiento financiero y de los flujos de efectivo de la entidad. Su objetivo es suministrar información que sea útil a una amplia variedad de usuarios para tomar y evaluar sus decisiones económicas respecto a la asignación de recursos. Los estados financieros también constituyen un medio para la rendición de cuentas de la entidad por los recursos que le han sido confiados y pueden ser utilizados como un instrumento de carácter predictivo o proyectivo en relación con los recursos requeridos, los recursos generados en el giro normal de la operación y los riesgos e incertidumbres asociados a estos. </w:t>
      </w:r>
    </w:p>
    <w:p w14:paraId="128BCC6E" w14:textId="77777777" w:rsidR="00F53AB1" w:rsidRPr="00A85FEA" w:rsidRDefault="00F53AB1" w:rsidP="00A85FEA">
      <w:pPr>
        <w:jc w:val="both"/>
        <w:rPr>
          <w:rFonts w:cs="Arial"/>
          <w:szCs w:val="22"/>
        </w:rPr>
      </w:pPr>
    </w:p>
    <w:p w14:paraId="182E4CB7" w14:textId="77777777" w:rsidR="00F53AB1" w:rsidRPr="00A85FEA" w:rsidRDefault="00F53AB1" w:rsidP="00A85FEA">
      <w:pPr>
        <w:jc w:val="both"/>
        <w:rPr>
          <w:rFonts w:cs="Arial"/>
          <w:szCs w:val="22"/>
        </w:rPr>
      </w:pPr>
      <w:r w:rsidRPr="00A85FEA">
        <w:rPr>
          <w:rFonts w:cs="Arial"/>
          <w:szCs w:val="22"/>
        </w:rPr>
        <w:t>Para cumplir estos objetivos, los estados financieros suministrarán información acerca de los siguientes elementos: activos, pasivos, patrimonio, ingresos, gastos y costos, así como los flujos de efectivo. No obstante, junto con los estados financieros, la entidad podrá presentar información complementaria, con el fin de ofrecer una descripción más completa de sus actividades y contribuir al proceso de rendición de cuentas.</w:t>
      </w:r>
    </w:p>
    <w:p w14:paraId="4341B729" w14:textId="77777777" w:rsidR="00F53AB1" w:rsidRPr="00A85FEA" w:rsidRDefault="00F53AB1" w:rsidP="00A85FEA">
      <w:pPr>
        <w:pStyle w:val="Ttulo1"/>
        <w:rPr>
          <w:rFonts w:ascii="Arial" w:hAnsi="Arial" w:cs="Arial"/>
          <w:color w:val="auto"/>
          <w:sz w:val="22"/>
          <w:szCs w:val="22"/>
        </w:rPr>
      </w:pPr>
      <w:bookmarkStart w:id="212" w:name="_Toc525721508"/>
      <w:r w:rsidRPr="00A85FEA">
        <w:rPr>
          <w:rFonts w:ascii="Arial" w:hAnsi="Arial" w:cs="Arial"/>
          <w:color w:val="auto"/>
          <w:sz w:val="22"/>
          <w:szCs w:val="22"/>
        </w:rPr>
        <w:t>1.6. Conjunto completo de estados financieros</w:t>
      </w:r>
      <w:bookmarkEnd w:id="212"/>
      <w:r w:rsidRPr="00A85FEA">
        <w:rPr>
          <w:rFonts w:ascii="Arial" w:hAnsi="Arial" w:cs="Arial"/>
          <w:color w:val="auto"/>
          <w:sz w:val="22"/>
          <w:szCs w:val="22"/>
        </w:rPr>
        <w:t xml:space="preserve"> </w:t>
      </w:r>
    </w:p>
    <w:p w14:paraId="4B1C7FF4" w14:textId="77777777" w:rsidR="00F53AB1" w:rsidRPr="00A85FEA" w:rsidRDefault="00F53AB1" w:rsidP="00D87929">
      <w:pPr>
        <w:rPr>
          <w:rFonts w:cs="Arial"/>
          <w:szCs w:val="22"/>
        </w:rPr>
      </w:pPr>
    </w:p>
    <w:p w14:paraId="1F65883D" w14:textId="77777777" w:rsidR="00F53AB1" w:rsidRPr="00A85FEA" w:rsidRDefault="00F53AB1" w:rsidP="00D87929">
      <w:pPr>
        <w:rPr>
          <w:rFonts w:cs="Arial"/>
          <w:szCs w:val="22"/>
        </w:rPr>
      </w:pPr>
      <w:r w:rsidRPr="00A85FEA">
        <w:rPr>
          <w:rFonts w:cs="Arial"/>
          <w:szCs w:val="22"/>
        </w:rPr>
        <w:t xml:space="preserve">Un juego completo de estados financieros comprende lo siguiente: </w:t>
      </w:r>
    </w:p>
    <w:p w14:paraId="15284269" w14:textId="77777777" w:rsidR="00F53AB1" w:rsidRPr="00A85FEA" w:rsidRDefault="00F53AB1" w:rsidP="00D87929">
      <w:pPr>
        <w:rPr>
          <w:rFonts w:cs="Arial"/>
          <w:szCs w:val="22"/>
        </w:rPr>
      </w:pPr>
    </w:p>
    <w:p w14:paraId="44887D1A" w14:textId="77777777" w:rsidR="00F53AB1" w:rsidRPr="00A85FEA" w:rsidRDefault="00F53AB1" w:rsidP="00D87929">
      <w:pPr>
        <w:rPr>
          <w:rFonts w:cs="Arial"/>
          <w:szCs w:val="22"/>
        </w:rPr>
      </w:pPr>
      <w:r w:rsidRPr="00A85FEA">
        <w:rPr>
          <w:rFonts w:cs="Arial"/>
          <w:szCs w:val="22"/>
        </w:rPr>
        <w:t>Un estado de situación financiera al final del periodo contable</w:t>
      </w:r>
    </w:p>
    <w:p w14:paraId="433428CF" w14:textId="77777777" w:rsidR="00F53AB1" w:rsidRPr="00A85FEA" w:rsidRDefault="00F53AB1" w:rsidP="00D87929">
      <w:pPr>
        <w:rPr>
          <w:rFonts w:cs="Arial"/>
          <w:szCs w:val="22"/>
        </w:rPr>
      </w:pPr>
      <w:r w:rsidRPr="00A85FEA">
        <w:rPr>
          <w:rFonts w:cs="Arial"/>
          <w:szCs w:val="22"/>
        </w:rPr>
        <w:t>Un estado de resultados del periodo contable,</w:t>
      </w:r>
    </w:p>
    <w:p w14:paraId="430E6949" w14:textId="77777777" w:rsidR="00F53AB1" w:rsidRPr="00A85FEA" w:rsidRDefault="00F53AB1" w:rsidP="00D87929">
      <w:pPr>
        <w:rPr>
          <w:rFonts w:cs="Arial"/>
          <w:szCs w:val="22"/>
        </w:rPr>
      </w:pPr>
      <w:r w:rsidRPr="00A85FEA">
        <w:rPr>
          <w:rFonts w:cs="Arial"/>
          <w:szCs w:val="22"/>
        </w:rPr>
        <w:t>un estado de cambios en el patrimonio del periodo contable,</w:t>
      </w:r>
    </w:p>
    <w:p w14:paraId="1AE9F86D" w14:textId="77777777" w:rsidR="00F53AB1" w:rsidRPr="00A85FEA" w:rsidRDefault="00F53AB1" w:rsidP="00D87929">
      <w:pPr>
        <w:rPr>
          <w:rFonts w:cs="Arial"/>
          <w:szCs w:val="22"/>
        </w:rPr>
      </w:pPr>
      <w:r w:rsidRPr="00A85FEA">
        <w:rPr>
          <w:rFonts w:cs="Arial"/>
          <w:szCs w:val="22"/>
        </w:rPr>
        <w:t xml:space="preserve">Un estado de flujos de efectivo del periodo contable, y </w:t>
      </w:r>
    </w:p>
    <w:p w14:paraId="1CEC3E73" w14:textId="77777777" w:rsidR="00F53AB1" w:rsidRPr="00A85FEA" w:rsidRDefault="00F53AB1" w:rsidP="00D87929">
      <w:pPr>
        <w:rPr>
          <w:rFonts w:cs="Arial"/>
          <w:szCs w:val="22"/>
        </w:rPr>
      </w:pPr>
      <w:r w:rsidRPr="00A85FEA">
        <w:rPr>
          <w:rFonts w:cs="Arial"/>
          <w:szCs w:val="22"/>
        </w:rPr>
        <w:t>las notas a los estados. Los estados financieros se presentarán de forma comparativa</w:t>
      </w:r>
    </w:p>
    <w:p w14:paraId="2E2474E1" w14:textId="77777777" w:rsidR="00F53AB1" w:rsidRPr="00A85FEA" w:rsidRDefault="00F53AB1" w:rsidP="00D87929">
      <w:pPr>
        <w:rPr>
          <w:rFonts w:cs="Arial"/>
          <w:szCs w:val="22"/>
        </w:rPr>
      </w:pPr>
    </w:p>
    <w:p w14:paraId="47A4B0EE" w14:textId="77777777" w:rsidR="00F53AB1" w:rsidRPr="00A85FEA" w:rsidRDefault="00F53AB1" w:rsidP="00D87929">
      <w:pPr>
        <w:rPr>
          <w:rFonts w:cs="Arial"/>
          <w:i/>
          <w:szCs w:val="22"/>
        </w:rPr>
      </w:pPr>
      <w:r w:rsidRPr="00A85FEA">
        <w:rPr>
          <w:rFonts w:cs="Arial"/>
          <w:i/>
          <w:szCs w:val="22"/>
        </w:rPr>
        <w:lastRenderedPageBreak/>
        <w:t>Mensualmente la Corporación para el Desarrollo Sostenible del Norte y el Oriente Amazónico – CDA presentara los siguientes informes contables mensuales a más tardar el día treinta del mes siguiente (30) al informado y aplicara el procedimiento para la preparación y publicación de los informes financieros y contables mensuales o Res. 182/2017   de la Contaduría General de la Nación:</w:t>
      </w:r>
    </w:p>
    <w:p w14:paraId="14248875" w14:textId="77777777" w:rsidR="00F53AB1" w:rsidRPr="00A85FEA" w:rsidRDefault="00F53AB1" w:rsidP="00D87929">
      <w:pPr>
        <w:rPr>
          <w:rFonts w:cs="Arial"/>
          <w:i/>
          <w:szCs w:val="22"/>
        </w:rPr>
      </w:pPr>
    </w:p>
    <w:p w14:paraId="5893BCDB" w14:textId="77777777" w:rsidR="00F53AB1" w:rsidRPr="00A85FEA" w:rsidRDefault="00F53AB1" w:rsidP="00D87929">
      <w:pPr>
        <w:rPr>
          <w:rFonts w:cs="Arial"/>
          <w:i/>
          <w:szCs w:val="22"/>
        </w:rPr>
      </w:pPr>
      <w:r w:rsidRPr="00A85FEA">
        <w:rPr>
          <w:rFonts w:cs="Arial"/>
          <w:i/>
          <w:szCs w:val="22"/>
        </w:rPr>
        <w:t>Un estado de situación financiera;</w:t>
      </w:r>
    </w:p>
    <w:p w14:paraId="36C0FAEC" w14:textId="77777777" w:rsidR="00F53AB1" w:rsidRPr="00A85FEA" w:rsidRDefault="00F53AB1" w:rsidP="00D87929">
      <w:pPr>
        <w:rPr>
          <w:rFonts w:cs="Arial"/>
          <w:i/>
          <w:szCs w:val="22"/>
        </w:rPr>
      </w:pPr>
      <w:r w:rsidRPr="00A85FEA">
        <w:rPr>
          <w:rFonts w:cs="Arial"/>
          <w:i/>
          <w:szCs w:val="22"/>
        </w:rPr>
        <w:t>un estado de resultados o un estado del resultado y</w:t>
      </w:r>
    </w:p>
    <w:p w14:paraId="2466EFA6" w14:textId="77777777" w:rsidR="00F53AB1" w:rsidRPr="00A85FEA" w:rsidRDefault="00F53AB1" w:rsidP="00D87929">
      <w:pPr>
        <w:rPr>
          <w:rFonts w:cs="Arial"/>
          <w:i/>
          <w:szCs w:val="22"/>
        </w:rPr>
      </w:pPr>
      <w:r w:rsidRPr="00A85FEA">
        <w:rPr>
          <w:rFonts w:cs="Arial"/>
          <w:i/>
          <w:szCs w:val="22"/>
        </w:rPr>
        <w:t>las notas a los informes financieros y contables mensuales.</w:t>
      </w:r>
    </w:p>
    <w:p w14:paraId="1C048AD3" w14:textId="77777777" w:rsidR="00F53AB1" w:rsidRPr="00A85FEA" w:rsidRDefault="00F53AB1" w:rsidP="00A85FEA">
      <w:pPr>
        <w:pStyle w:val="Ttulo1"/>
        <w:rPr>
          <w:rFonts w:ascii="Arial" w:hAnsi="Arial" w:cs="Arial"/>
          <w:color w:val="auto"/>
          <w:sz w:val="22"/>
          <w:szCs w:val="22"/>
        </w:rPr>
      </w:pPr>
      <w:bookmarkStart w:id="213" w:name="_Toc525721509"/>
      <w:r w:rsidRPr="00A85FEA">
        <w:rPr>
          <w:rFonts w:ascii="Arial" w:hAnsi="Arial" w:cs="Arial"/>
          <w:color w:val="auto"/>
          <w:sz w:val="22"/>
          <w:szCs w:val="22"/>
        </w:rPr>
        <w:t>1.7. Estructura y contenido de los estados financieros</w:t>
      </w:r>
      <w:bookmarkEnd w:id="213"/>
      <w:r w:rsidRPr="00A85FEA">
        <w:rPr>
          <w:rFonts w:ascii="Arial" w:hAnsi="Arial" w:cs="Arial"/>
          <w:color w:val="auto"/>
          <w:sz w:val="22"/>
          <w:szCs w:val="22"/>
        </w:rPr>
        <w:t xml:space="preserve"> </w:t>
      </w:r>
    </w:p>
    <w:p w14:paraId="754E7A1F" w14:textId="77777777" w:rsidR="00F53AB1" w:rsidRPr="00A85FEA" w:rsidRDefault="00F53AB1" w:rsidP="00D87929">
      <w:pPr>
        <w:rPr>
          <w:rFonts w:cs="Arial"/>
          <w:szCs w:val="22"/>
        </w:rPr>
      </w:pPr>
    </w:p>
    <w:p w14:paraId="5EAFDD50" w14:textId="77777777" w:rsidR="00F53AB1" w:rsidRPr="00A85FEA" w:rsidRDefault="00F53AB1" w:rsidP="00D87929">
      <w:pPr>
        <w:rPr>
          <w:rFonts w:cs="Arial"/>
          <w:szCs w:val="22"/>
        </w:rPr>
      </w:pPr>
      <w:r w:rsidRPr="00A85FEA">
        <w:rPr>
          <w:rFonts w:cs="Arial"/>
          <w:szCs w:val="22"/>
        </w:rPr>
        <w:t xml:space="preserve">1.7.1. Identificación de los estados financieros </w:t>
      </w:r>
    </w:p>
    <w:p w14:paraId="1BCA2F30" w14:textId="77777777" w:rsidR="00F53AB1" w:rsidRPr="00A85FEA" w:rsidRDefault="00F53AB1" w:rsidP="00D87929">
      <w:pPr>
        <w:rPr>
          <w:rFonts w:cs="Arial"/>
          <w:szCs w:val="22"/>
        </w:rPr>
      </w:pPr>
    </w:p>
    <w:p w14:paraId="36811835" w14:textId="77777777" w:rsidR="00F53AB1" w:rsidRPr="00A85FEA" w:rsidRDefault="00F53AB1" w:rsidP="00D87929">
      <w:pPr>
        <w:rPr>
          <w:rFonts w:cs="Arial"/>
          <w:szCs w:val="22"/>
        </w:rPr>
      </w:pPr>
      <w:r w:rsidRPr="00A85FEA">
        <w:rPr>
          <w:rFonts w:cs="Arial"/>
          <w:szCs w:val="22"/>
        </w:rPr>
        <w:t>La Corporación para el Desarrollo Sostenible del Norte y el Oriente Amazónico – CDA diferenciará cada estado financiero y las notas de cualquier otro tipo de información que presente y destacará la siguiente información:</w:t>
      </w:r>
    </w:p>
    <w:p w14:paraId="118A85F2" w14:textId="77777777" w:rsidR="00F53AB1" w:rsidRPr="00A85FEA" w:rsidRDefault="00F53AB1" w:rsidP="00D87929">
      <w:pPr>
        <w:rPr>
          <w:rFonts w:cs="Arial"/>
          <w:szCs w:val="22"/>
        </w:rPr>
      </w:pPr>
    </w:p>
    <w:p w14:paraId="0A413C7B" w14:textId="77777777" w:rsidR="00F53AB1" w:rsidRPr="00A85FEA" w:rsidRDefault="00F53AB1" w:rsidP="00D87929">
      <w:pPr>
        <w:rPr>
          <w:rFonts w:cs="Arial"/>
          <w:szCs w:val="22"/>
        </w:rPr>
      </w:pPr>
      <w:r w:rsidRPr="00A85FEA">
        <w:rPr>
          <w:rFonts w:cs="Arial"/>
          <w:szCs w:val="22"/>
        </w:rPr>
        <w:t xml:space="preserve">el nombre de la entidad, así como cualquier cambio ocurrido desde el estado financiero anterior; </w:t>
      </w:r>
    </w:p>
    <w:p w14:paraId="03B9EA91" w14:textId="77777777" w:rsidR="00F53AB1" w:rsidRPr="00A85FEA" w:rsidRDefault="00F53AB1" w:rsidP="00D87929">
      <w:pPr>
        <w:rPr>
          <w:rFonts w:cs="Arial"/>
          <w:szCs w:val="22"/>
        </w:rPr>
      </w:pPr>
      <w:r w:rsidRPr="00A85FEA">
        <w:rPr>
          <w:rFonts w:cs="Arial"/>
          <w:szCs w:val="22"/>
        </w:rPr>
        <w:t xml:space="preserve">el hecho de que los estados financieros correspondan a la entidad individual o a un grupo de entidades; </w:t>
      </w:r>
    </w:p>
    <w:p w14:paraId="0E6872C7" w14:textId="77777777" w:rsidR="00F53AB1" w:rsidRPr="00A85FEA" w:rsidRDefault="00F53AB1" w:rsidP="00D87929">
      <w:pPr>
        <w:rPr>
          <w:rFonts w:cs="Arial"/>
          <w:szCs w:val="22"/>
        </w:rPr>
      </w:pPr>
      <w:r w:rsidRPr="00A85FEA">
        <w:rPr>
          <w:rFonts w:cs="Arial"/>
          <w:szCs w:val="22"/>
        </w:rPr>
        <w:t xml:space="preserve">la fecha del cierre del periodo al que correspondan los estados financieros o el periodo cubierto; </w:t>
      </w:r>
    </w:p>
    <w:p w14:paraId="5807F550" w14:textId="77777777" w:rsidR="00F53AB1" w:rsidRPr="00A85FEA" w:rsidRDefault="00F53AB1" w:rsidP="00D87929">
      <w:pPr>
        <w:rPr>
          <w:rFonts w:cs="Arial"/>
          <w:szCs w:val="22"/>
        </w:rPr>
      </w:pPr>
      <w:r w:rsidRPr="00A85FEA">
        <w:rPr>
          <w:rFonts w:cs="Arial"/>
          <w:szCs w:val="22"/>
        </w:rPr>
        <w:t>la moneda de presentación; y</w:t>
      </w:r>
    </w:p>
    <w:p w14:paraId="445AE0AB" w14:textId="77777777" w:rsidR="00F53AB1" w:rsidRPr="00A85FEA" w:rsidRDefault="00F53AB1" w:rsidP="00D87929">
      <w:pPr>
        <w:rPr>
          <w:rFonts w:cs="Arial"/>
          <w:szCs w:val="22"/>
        </w:rPr>
      </w:pPr>
      <w:r w:rsidRPr="00A85FEA">
        <w:rPr>
          <w:rFonts w:cs="Arial"/>
          <w:szCs w:val="22"/>
        </w:rPr>
        <w:t xml:space="preserve">el grado de redondeo practicado al presentar las cifras de los estados financieros. </w:t>
      </w:r>
    </w:p>
    <w:p w14:paraId="6D69DB75" w14:textId="77777777" w:rsidR="00F53AB1" w:rsidRPr="00A85FEA" w:rsidRDefault="00F53AB1" w:rsidP="00D87929">
      <w:pPr>
        <w:rPr>
          <w:rFonts w:cs="Arial"/>
          <w:szCs w:val="22"/>
        </w:rPr>
      </w:pPr>
    </w:p>
    <w:p w14:paraId="11150175" w14:textId="77777777" w:rsidR="00F53AB1" w:rsidRPr="00A85FEA" w:rsidRDefault="00F53AB1" w:rsidP="00D87929">
      <w:pPr>
        <w:rPr>
          <w:rFonts w:cs="Arial"/>
          <w:szCs w:val="22"/>
        </w:rPr>
      </w:pPr>
      <w:r w:rsidRPr="00A85FEA">
        <w:rPr>
          <w:rFonts w:cs="Arial"/>
          <w:szCs w:val="22"/>
        </w:rPr>
        <w:t xml:space="preserve">1.7.2. Estado de situación financiera </w:t>
      </w:r>
    </w:p>
    <w:p w14:paraId="6DE592FC" w14:textId="77777777" w:rsidR="00F53AB1" w:rsidRPr="00A85FEA" w:rsidRDefault="00F53AB1" w:rsidP="00D87929">
      <w:pPr>
        <w:rPr>
          <w:rFonts w:cs="Arial"/>
          <w:szCs w:val="22"/>
        </w:rPr>
      </w:pPr>
    </w:p>
    <w:p w14:paraId="1B44B134" w14:textId="77777777" w:rsidR="00F53AB1" w:rsidRPr="00A85FEA" w:rsidRDefault="00F53AB1" w:rsidP="00D87929">
      <w:pPr>
        <w:rPr>
          <w:rFonts w:cs="Arial"/>
          <w:szCs w:val="22"/>
        </w:rPr>
      </w:pPr>
      <w:r w:rsidRPr="00A85FEA">
        <w:rPr>
          <w:rFonts w:cs="Arial"/>
          <w:szCs w:val="22"/>
        </w:rPr>
        <w:t xml:space="preserve">El estado de situación financiera presenta en forma clasificada, resumida y consistente, la situación financiera de la entidad a una fecha determinada y revela la totalidad de sus bienes, derechos y obligaciones, y la situación del patrimonio. </w:t>
      </w:r>
    </w:p>
    <w:p w14:paraId="354EE1D9" w14:textId="77777777" w:rsidR="00F53AB1" w:rsidRPr="00A85FEA" w:rsidRDefault="00F53AB1" w:rsidP="00D87929">
      <w:pPr>
        <w:rPr>
          <w:rFonts w:cs="Arial"/>
          <w:szCs w:val="22"/>
        </w:rPr>
      </w:pPr>
    </w:p>
    <w:p w14:paraId="2E3B0006" w14:textId="77777777" w:rsidR="00F53AB1" w:rsidRPr="00A85FEA" w:rsidRDefault="00F53AB1" w:rsidP="00D87929">
      <w:pPr>
        <w:rPr>
          <w:rFonts w:cs="Arial"/>
          <w:szCs w:val="22"/>
        </w:rPr>
      </w:pPr>
      <w:r w:rsidRPr="00A85FEA">
        <w:rPr>
          <w:rFonts w:cs="Arial"/>
          <w:szCs w:val="22"/>
        </w:rPr>
        <w:t xml:space="preserve">1.7.2.1 Información a presentar en el estado de situación financiera </w:t>
      </w:r>
    </w:p>
    <w:p w14:paraId="287CB6E1" w14:textId="77777777" w:rsidR="00F53AB1" w:rsidRPr="00A85FEA" w:rsidRDefault="00F53AB1" w:rsidP="00D87929">
      <w:pPr>
        <w:rPr>
          <w:rFonts w:cs="Arial"/>
          <w:szCs w:val="22"/>
        </w:rPr>
      </w:pPr>
    </w:p>
    <w:p w14:paraId="5380A144" w14:textId="77777777" w:rsidR="00F53AB1" w:rsidRPr="00A85FEA" w:rsidRDefault="00F53AB1" w:rsidP="00D87929">
      <w:pPr>
        <w:rPr>
          <w:rFonts w:cs="Arial"/>
          <w:szCs w:val="22"/>
        </w:rPr>
      </w:pPr>
      <w:r w:rsidRPr="00A85FEA">
        <w:rPr>
          <w:rFonts w:cs="Arial"/>
          <w:szCs w:val="22"/>
        </w:rPr>
        <w:t xml:space="preserve">Como mínimo, el estado de situación financiera incluirá partidas que presenten los siguientes importes: </w:t>
      </w:r>
    </w:p>
    <w:p w14:paraId="08B78B24" w14:textId="77777777" w:rsidR="00F53AB1" w:rsidRPr="00A85FEA" w:rsidRDefault="00F53AB1" w:rsidP="00D87929">
      <w:pPr>
        <w:rPr>
          <w:rFonts w:cs="Arial"/>
          <w:szCs w:val="22"/>
        </w:rPr>
      </w:pPr>
    </w:p>
    <w:p w14:paraId="0461AAF7" w14:textId="77777777" w:rsidR="00F53AB1" w:rsidRPr="00A85FEA" w:rsidRDefault="00F53AB1" w:rsidP="00D87929">
      <w:pPr>
        <w:rPr>
          <w:rFonts w:cs="Arial"/>
          <w:szCs w:val="22"/>
        </w:rPr>
      </w:pPr>
      <w:r w:rsidRPr="00A85FEA">
        <w:rPr>
          <w:rFonts w:cs="Arial"/>
          <w:szCs w:val="22"/>
        </w:rPr>
        <w:t xml:space="preserve">efectivo y equivalentes al efectivo; </w:t>
      </w:r>
    </w:p>
    <w:p w14:paraId="31E872C3" w14:textId="77777777" w:rsidR="00F53AB1" w:rsidRPr="00A85FEA" w:rsidRDefault="00F53AB1" w:rsidP="00D87929">
      <w:pPr>
        <w:rPr>
          <w:rFonts w:cs="Arial"/>
          <w:szCs w:val="22"/>
        </w:rPr>
      </w:pPr>
      <w:r w:rsidRPr="00A85FEA">
        <w:rPr>
          <w:rFonts w:cs="Arial"/>
          <w:szCs w:val="22"/>
        </w:rPr>
        <w:t xml:space="preserve">inversiones de administración de liquidez; </w:t>
      </w:r>
    </w:p>
    <w:p w14:paraId="3D87830C" w14:textId="77777777" w:rsidR="00F53AB1" w:rsidRPr="00A85FEA" w:rsidRDefault="00F53AB1" w:rsidP="00D87929">
      <w:pPr>
        <w:rPr>
          <w:rFonts w:cs="Arial"/>
          <w:szCs w:val="22"/>
        </w:rPr>
      </w:pPr>
      <w:r w:rsidRPr="00A85FEA">
        <w:rPr>
          <w:rFonts w:cs="Arial"/>
          <w:szCs w:val="22"/>
        </w:rPr>
        <w:t xml:space="preserve">cuentas por cobrar por transacciones sin contraprestación; </w:t>
      </w:r>
    </w:p>
    <w:p w14:paraId="12BB45E5" w14:textId="77777777" w:rsidR="00F53AB1" w:rsidRPr="00A85FEA" w:rsidRDefault="00F53AB1" w:rsidP="00D87929">
      <w:pPr>
        <w:rPr>
          <w:rFonts w:cs="Arial"/>
          <w:szCs w:val="22"/>
        </w:rPr>
      </w:pPr>
      <w:r w:rsidRPr="00A85FEA">
        <w:rPr>
          <w:rFonts w:cs="Arial"/>
          <w:szCs w:val="22"/>
        </w:rPr>
        <w:t xml:space="preserve">inventarios; </w:t>
      </w:r>
    </w:p>
    <w:p w14:paraId="35751033" w14:textId="77777777" w:rsidR="00F53AB1" w:rsidRPr="00A85FEA" w:rsidRDefault="00F53AB1" w:rsidP="00D87929">
      <w:pPr>
        <w:rPr>
          <w:rFonts w:cs="Arial"/>
          <w:szCs w:val="22"/>
        </w:rPr>
      </w:pPr>
      <w:r w:rsidRPr="00A85FEA">
        <w:rPr>
          <w:rFonts w:cs="Arial"/>
          <w:szCs w:val="22"/>
        </w:rPr>
        <w:lastRenderedPageBreak/>
        <w:t>propiedades, planta y equipo;</w:t>
      </w:r>
    </w:p>
    <w:p w14:paraId="66FB3C3B" w14:textId="77777777" w:rsidR="00F53AB1" w:rsidRPr="00A85FEA" w:rsidRDefault="00F53AB1" w:rsidP="00D87929">
      <w:pPr>
        <w:rPr>
          <w:rFonts w:cs="Arial"/>
          <w:szCs w:val="22"/>
        </w:rPr>
      </w:pPr>
      <w:r w:rsidRPr="00A85FEA">
        <w:rPr>
          <w:rFonts w:cs="Arial"/>
          <w:szCs w:val="22"/>
        </w:rPr>
        <w:t xml:space="preserve">activos intangibles; </w:t>
      </w:r>
    </w:p>
    <w:p w14:paraId="4F429D1E" w14:textId="77777777" w:rsidR="00F53AB1" w:rsidRPr="00A85FEA" w:rsidRDefault="00F53AB1" w:rsidP="00D87929">
      <w:pPr>
        <w:rPr>
          <w:rFonts w:cs="Arial"/>
          <w:szCs w:val="22"/>
        </w:rPr>
      </w:pPr>
      <w:r w:rsidRPr="00A85FEA">
        <w:rPr>
          <w:rFonts w:cs="Arial"/>
          <w:szCs w:val="22"/>
        </w:rPr>
        <w:t>cuentas por pagar;</w:t>
      </w:r>
    </w:p>
    <w:p w14:paraId="49926123" w14:textId="77777777" w:rsidR="00F53AB1" w:rsidRPr="00A85FEA" w:rsidRDefault="00F53AB1" w:rsidP="00D87929">
      <w:pPr>
        <w:rPr>
          <w:rFonts w:cs="Arial"/>
          <w:szCs w:val="22"/>
        </w:rPr>
      </w:pPr>
      <w:r w:rsidRPr="00A85FEA">
        <w:rPr>
          <w:rFonts w:cs="Arial"/>
          <w:szCs w:val="22"/>
        </w:rPr>
        <w:t xml:space="preserve">provisiones; </w:t>
      </w:r>
    </w:p>
    <w:p w14:paraId="0FA5625F" w14:textId="77777777" w:rsidR="00F53AB1" w:rsidRPr="00A85FEA" w:rsidRDefault="00F53AB1" w:rsidP="00D87929">
      <w:pPr>
        <w:rPr>
          <w:rFonts w:cs="Arial"/>
          <w:szCs w:val="22"/>
        </w:rPr>
      </w:pPr>
      <w:r w:rsidRPr="00A85FEA">
        <w:rPr>
          <w:rFonts w:cs="Arial"/>
          <w:szCs w:val="22"/>
        </w:rPr>
        <w:t xml:space="preserve">pasivos por beneficios a los empleados; </w:t>
      </w:r>
    </w:p>
    <w:p w14:paraId="56BB8424" w14:textId="77777777" w:rsidR="00F53AB1" w:rsidRPr="00A85FEA" w:rsidRDefault="00F53AB1" w:rsidP="00D87929">
      <w:pPr>
        <w:rPr>
          <w:rFonts w:cs="Arial"/>
          <w:szCs w:val="22"/>
        </w:rPr>
      </w:pPr>
    </w:p>
    <w:p w14:paraId="72C94AAB" w14:textId="77777777" w:rsidR="00F53AB1" w:rsidRPr="00A85FEA" w:rsidRDefault="00F53AB1" w:rsidP="00FC5C4A">
      <w:pPr>
        <w:jc w:val="both"/>
        <w:rPr>
          <w:rFonts w:cs="Arial"/>
          <w:szCs w:val="22"/>
        </w:rPr>
      </w:pPr>
      <w:r w:rsidRPr="00A85FEA">
        <w:rPr>
          <w:rFonts w:cs="Arial"/>
          <w:szCs w:val="22"/>
        </w:rPr>
        <w:t xml:space="preserve">La Corporación para el Desarrollo Sostenible del Norte y el Oriente Amazónico – CDA presentará, en el estado de situación financiera, partidas adicionales, encabezamientos y subtotales cuando la magnitud, naturaleza o función de estos sea tal que la presentación por separado resulte relevante para comprender la situación financiera de la entidad. </w:t>
      </w:r>
    </w:p>
    <w:p w14:paraId="2F426A0C" w14:textId="77777777" w:rsidR="00F53AB1" w:rsidRPr="00A85FEA" w:rsidRDefault="00F53AB1" w:rsidP="00FC5C4A">
      <w:pPr>
        <w:jc w:val="both"/>
        <w:rPr>
          <w:rFonts w:cs="Arial"/>
          <w:szCs w:val="22"/>
        </w:rPr>
      </w:pPr>
    </w:p>
    <w:p w14:paraId="21EB25CE" w14:textId="77777777" w:rsidR="00F53AB1" w:rsidRPr="00A85FEA" w:rsidRDefault="00F53AB1" w:rsidP="00FC5C4A">
      <w:pPr>
        <w:jc w:val="both"/>
        <w:rPr>
          <w:rFonts w:cs="Arial"/>
          <w:szCs w:val="22"/>
        </w:rPr>
      </w:pPr>
      <w:r w:rsidRPr="00A85FEA">
        <w:rPr>
          <w:rFonts w:cs="Arial"/>
          <w:szCs w:val="22"/>
        </w:rPr>
        <w:t xml:space="preserve">Adicionalmente, La Corporación para el Desarrollo Sostenible del Norte y el Oriente Amazónico – CDA presentará en el estado de situación financiera, a continuación de los activos, pasivos y patrimonio, los saldos de las cuentas de orden deudoras contingentes, de control y fiscales, así como los saldos de las cuentas de orden acreedoras contingentes, de control y fiscales. </w:t>
      </w:r>
    </w:p>
    <w:p w14:paraId="55160256" w14:textId="77777777" w:rsidR="00F53AB1" w:rsidRPr="00A85FEA" w:rsidRDefault="00F53AB1" w:rsidP="00D87929">
      <w:pPr>
        <w:rPr>
          <w:rFonts w:cs="Arial"/>
          <w:szCs w:val="22"/>
        </w:rPr>
      </w:pPr>
    </w:p>
    <w:p w14:paraId="4864876A" w14:textId="77777777" w:rsidR="00F53AB1" w:rsidRPr="00A85FEA" w:rsidRDefault="00F53AB1" w:rsidP="00D87929">
      <w:pPr>
        <w:rPr>
          <w:rFonts w:cs="Arial"/>
          <w:szCs w:val="22"/>
        </w:rPr>
      </w:pPr>
      <w:r w:rsidRPr="00A85FEA">
        <w:rPr>
          <w:rFonts w:cs="Arial"/>
          <w:szCs w:val="22"/>
        </w:rPr>
        <w:t xml:space="preserve">1.7.2.2 Distinción de partidas corrientes y no corrientes </w:t>
      </w:r>
    </w:p>
    <w:p w14:paraId="53ABD61B" w14:textId="77777777" w:rsidR="00F53AB1" w:rsidRPr="00A85FEA" w:rsidRDefault="00F53AB1" w:rsidP="00D87929">
      <w:pPr>
        <w:rPr>
          <w:rFonts w:cs="Arial"/>
          <w:szCs w:val="22"/>
        </w:rPr>
      </w:pPr>
    </w:p>
    <w:p w14:paraId="0241B988" w14:textId="77777777" w:rsidR="00F53AB1" w:rsidRPr="00A85FEA" w:rsidRDefault="00F53AB1" w:rsidP="00FC5C4A">
      <w:pPr>
        <w:jc w:val="both"/>
        <w:rPr>
          <w:rFonts w:cs="Arial"/>
          <w:szCs w:val="22"/>
        </w:rPr>
      </w:pPr>
      <w:r w:rsidRPr="00A85FEA">
        <w:rPr>
          <w:rFonts w:cs="Arial"/>
          <w:szCs w:val="22"/>
        </w:rPr>
        <w:t xml:space="preserve">La entidad presentará sus activos corrientes y no corrientes, así como sus pasivos corrientes y no corrientes, como categorías separadas en su estado de situación financiera. </w:t>
      </w:r>
    </w:p>
    <w:p w14:paraId="2E774337" w14:textId="77777777" w:rsidR="00F53AB1" w:rsidRPr="00A85FEA" w:rsidRDefault="00F53AB1" w:rsidP="00D87929">
      <w:pPr>
        <w:rPr>
          <w:rFonts w:cs="Arial"/>
          <w:szCs w:val="22"/>
        </w:rPr>
      </w:pPr>
    </w:p>
    <w:p w14:paraId="305A6049" w14:textId="77777777" w:rsidR="00F53AB1" w:rsidRPr="00A85FEA" w:rsidRDefault="00F53AB1" w:rsidP="00D87929">
      <w:pPr>
        <w:rPr>
          <w:rFonts w:cs="Arial"/>
          <w:szCs w:val="22"/>
        </w:rPr>
      </w:pPr>
      <w:r w:rsidRPr="00A85FEA">
        <w:rPr>
          <w:rFonts w:cs="Arial"/>
          <w:szCs w:val="22"/>
        </w:rPr>
        <w:t xml:space="preserve">1.7.2.2.1 Activos corrientes y no corrientes </w:t>
      </w:r>
    </w:p>
    <w:p w14:paraId="162CB00E" w14:textId="77777777" w:rsidR="00F53AB1" w:rsidRPr="00A85FEA" w:rsidRDefault="00F53AB1" w:rsidP="00D87929">
      <w:pPr>
        <w:rPr>
          <w:rFonts w:cs="Arial"/>
          <w:szCs w:val="22"/>
        </w:rPr>
      </w:pPr>
    </w:p>
    <w:p w14:paraId="4B6AD344" w14:textId="77777777" w:rsidR="00F53AB1" w:rsidRPr="00A85FEA" w:rsidRDefault="00F53AB1" w:rsidP="00FC5C4A">
      <w:pPr>
        <w:jc w:val="both"/>
        <w:rPr>
          <w:rFonts w:cs="Arial"/>
          <w:szCs w:val="22"/>
        </w:rPr>
      </w:pPr>
      <w:r w:rsidRPr="00A85FEA">
        <w:rPr>
          <w:rFonts w:cs="Arial"/>
          <w:szCs w:val="22"/>
        </w:rPr>
        <w:t xml:space="preserve">La Corporación para el Desarrollo Sostenible del Norte y el Oriente Amazónico – CDA clasificará un activo, como corriente cuando a) espere realizar el activo, o tenga la intención de venderlo, consumirlo o distribuirlo en forma gratuita o a precios de no mercado en su ciclo normal de operación (este último es el tiempo que la entidad tarda en transformar entradas de recursos en salidas); b) mantenga el activo principalmente con fines de negociación; c) espere realizar el activo dentro de los 12 meses siguientes a la fecha de los estados financieros; o d) el activo sea efectivo o equivalente al efectivo (como se define en la presente Norma), a menos que este se encuentre restringido y no pueda intercambiarse ni utilizarse para cancelar un pasivo por un plazo mínimo de 12 meses siguientes a la fecha de presentación de los estados financieros. </w:t>
      </w:r>
    </w:p>
    <w:p w14:paraId="5C37AACC" w14:textId="77777777" w:rsidR="00F53AB1" w:rsidRPr="00A85FEA" w:rsidRDefault="00F53AB1" w:rsidP="00FC5C4A">
      <w:pPr>
        <w:jc w:val="both"/>
        <w:rPr>
          <w:rFonts w:cs="Arial"/>
          <w:szCs w:val="22"/>
        </w:rPr>
      </w:pPr>
    </w:p>
    <w:p w14:paraId="5EA03ECE" w14:textId="77777777" w:rsidR="00F53AB1" w:rsidRPr="00A85FEA" w:rsidRDefault="00F53AB1" w:rsidP="00FC5C4A">
      <w:pPr>
        <w:jc w:val="both"/>
        <w:rPr>
          <w:rFonts w:cs="Arial"/>
          <w:szCs w:val="22"/>
        </w:rPr>
      </w:pPr>
      <w:r w:rsidRPr="00A85FEA">
        <w:rPr>
          <w:rFonts w:cs="Arial"/>
          <w:szCs w:val="22"/>
        </w:rPr>
        <w:t xml:space="preserve">La Corporación para el Desarrollo Sostenible del Norte y el Oriente Amazónico – CDA clasificará todos los demás activos como no corrientes. </w:t>
      </w:r>
    </w:p>
    <w:p w14:paraId="449657DA" w14:textId="77777777" w:rsidR="00F53AB1" w:rsidRPr="00A85FEA" w:rsidRDefault="00F53AB1" w:rsidP="00D87929">
      <w:pPr>
        <w:rPr>
          <w:rFonts w:cs="Arial"/>
          <w:szCs w:val="22"/>
        </w:rPr>
      </w:pPr>
    </w:p>
    <w:p w14:paraId="56B51911" w14:textId="77777777" w:rsidR="00F53AB1" w:rsidRPr="00A85FEA" w:rsidRDefault="00F53AB1" w:rsidP="00D87929">
      <w:pPr>
        <w:rPr>
          <w:rFonts w:cs="Arial"/>
          <w:szCs w:val="22"/>
        </w:rPr>
      </w:pPr>
      <w:r w:rsidRPr="00A85FEA">
        <w:rPr>
          <w:rFonts w:cs="Arial"/>
          <w:szCs w:val="22"/>
        </w:rPr>
        <w:t xml:space="preserve">1.7.2.2.2 Pasivos corrientes y no corrientes </w:t>
      </w:r>
    </w:p>
    <w:p w14:paraId="7C8F76F7" w14:textId="77777777" w:rsidR="00F53AB1" w:rsidRPr="00A85FEA" w:rsidRDefault="00F53AB1" w:rsidP="00D87929">
      <w:pPr>
        <w:rPr>
          <w:rFonts w:cs="Arial"/>
          <w:szCs w:val="22"/>
        </w:rPr>
      </w:pPr>
    </w:p>
    <w:p w14:paraId="26D3E11C" w14:textId="77777777" w:rsidR="00F53AB1" w:rsidRPr="00A85FEA" w:rsidRDefault="00F53AB1" w:rsidP="00607B87">
      <w:pPr>
        <w:jc w:val="both"/>
        <w:rPr>
          <w:rFonts w:cs="Arial"/>
          <w:szCs w:val="22"/>
        </w:rPr>
      </w:pPr>
      <w:r w:rsidRPr="00A85FEA">
        <w:rPr>
          <w:rFonts w:cs="Arial"/>
          <w:szCs w:val="22"/>
        </w:rPr>
        <w:t xml:space="preserve">La Corporación para el Desarrollo Sostenible del Norte y el Oriente Amazónico – CDA clasificará un pasivo como corriente cuando a) espere liquidar el pasivo en el ciclo normal </w:t>
      </w:r>
      <w:r w:rsidRPr="00A85FEA">
        <w:rPr>
          <w:rFonts w:cs="Arial"/>
          <w:szCs w:val="22"/>
        </w:rPr>
        <w:lastRenderedPageBreak/>
        <w:t xml:space="preserve">de su operación; b) liquide el pasivo dentro de los 12 meses siguientes a la fecha de los estados financieros; o c) no tenga un derecho incondicional de aplazar la cancelación del pasivo durante, al menos, los 12 meses siguientes a la fecha de presentación de los estados financieros. </w:t>
      </w:r>
    </w:p>
    <w:p w14:paraId="296FC0EC" w14:textId="77777777" w:rsidR="00F53AB1" w:rsidRPr="00A85FEA" w:rsidRDefault="00F53AB1" w:rsidP="00607B87">
      <w:pPr>
        <w:jc w:val="both"/>
        <w:rPr>
          <w:rFonts w:cs="Arial"/>
          <w:szCs w:val="22"/>
        </w:rPr>
      </w:pPr>
    </w:p>
    <w:p w14:paraId="3F48D7BB" w14:textId="77777777" w:rsidR="00F53AB1" w:rsidRPr="00A85FEA" w:rsidRDefault="00F53AB1" w:rsidP="00607B87">
      <w:pPr>
        <w:jc w:val="both"/>
        <w:rPr>
          <w:rFonts w:cs="Arial"/>
          <w:szCs w:val="22"/>
        </w:rPr>
      </w:pPr>
      <w:r w:rsidRPr="00A85FEA">
        <w:rPr>
          <w:rFonts w:cs="Arial"/>
          <w:szCs w:val="22"/>
        </w:rPr>
        <w:t xml:space="preserve">La Corporación para el Desarrollo Sostenible del Norte y el Oriente Amazónico – CDA clasificará todos los demás pasivos como no corrientes. </w:t>
      </w:r>
    </w:p>
    <w:p w14:paraId="6888EB09" w14:textId="77777777" w:rsidR="00F53AB1" w:rsidRPr="00A85FEA" w:rsidRDefault="00F53AB1" w:rsidP="00607B87">
      <w:pPr>
        <w:jc w:val="both"/>
        <w:rPr>
          <w:rFonts w:cs="Arial"/>
          <w:szCs w:val="22"/>
        </w:rPr>
      </w:pPr>
    </w:p>
    <w:p w14:paraId="67ADAAC2" w14:textId="77777777" w:rsidR="00F53AB1" w:rsidRPr="00A85FEA" w:rsidRDefault="00F53AB1" w:rsidP="00607B87">
      <w:pPr>
        <w:jc w:val="both"/>
        <w:rPr>
          <w:rFonts w:cs="Arial"/>
          <w:szCs w:val="22"/>
        </w:rPr>
      </w:pPr>
      <w:r w:rsidRPr="00A85FEA">
        <w:rPr>
          <w:rFonts w:cs="Arial"/>
          <w:szCs w:val="22"/>
        </w:rPr>
        <w:t xml:space="preserve">1.7.2.3 Información a presentar en el estado de situación financiera o en las notas </w:t>
      </w:r>
    </w:p>
    <w:p w14:paraId="0C7CC34D" w14:textId="77777777" w:rsidR="00F53AB1" w:rsidRPr="00A85FEA" w:rsidRDefault="00F53AB1" w:rsidP="00607B87">
      <w:pPr>
        <w:jc w:val="both"/>
        <w:rPr>
          <w:rFonts w:cs="Arial"/>
          <w:szCs w:val="22"/>
        </w:rPr>
      </w:pPr>
    </w:p>
    <w:p w14:paraId="295D06E3" w14:textId="77777777" w:rsidR="00F53AB1" w:rsidRPr="00A85FEA" w:rsidRDefault="00F53AB1" w:rsidP="00607B87">
      <w:pPr>
        <w:jc w:val="both"/>
        <w:rPr>
          <w:rFonts w:cs="Arial"/>
          <w:szCs w:val="22"/>
        </w:rPr>
      </w:pPr>
      <w:r w:rsidRPr="00A85FEA">
        <w:rPr>
          <w:rFonts w:cs="Arial"/>
          <w:szCs w:val="22"/>
        </w:rPr>
        <w:t xml:space="preserve">La Corporación para el Desarrollo Sostenible del Norte y el Oriente Amazónico – CDA revelará, ya sea en el estado de situación financiera o en las notas, desagregaciones de las partidas adicionales a las presentadas, clasificadas según las operaciones de la entidad. Para el efecto, tendrá en cuenta los requisitos de las normas, así como el tamaño, la naturaleza y la función de los importes afectados. </w:t>
      </w:r>
    </w:p>
    <w:p w14:paraId="70DE08DB" w14:textId="77777777" w:rsidR="00F53AB1" w:rsidRPr="00A85FEA" w:rsidRDefault="00F53AB1" w:rsidP="00607B87">
      <w:pPr>
        <w:jc w:val="both"/>
        <w:rPr>
          <w:rFonts w:cs="Arial"/>
          <w:szCs w:val="22"/>
        </w:rPr>
      </w:pPr>
    </w:p>
    <w:p w14:paraId="1106A3F6" w14:textId="77777777" w:rsidR="00F53AB1" w:rsidRPr="00A85FEA" w:rsidRDefault="00F53AB1" w:rsidP="00607B87">
      <w:pPr>
        <w:jc w:val="both"/>
        <w:rPr>
          <w:rFonts w:cs="Arial"/>
          <w:szCs w:val="22"/>
        </w:rPr>
      </w:pPr>
      <w:r w:rsidRPr="00A85FEA">
        <w:rPr>
          <w:rFonts w:cs="Arial"/>
          <w:szCs w:val="22"/>
        </w:rPr>
        <w:t xml:space="preserve">El nivel de información suministrada variará para cada partida; así, por ejemplo: </w:t>
      </w:r>
    </w:p>
    <w:p w14:paraId="46CCC525" w14:textId="77777777" w:rsidR="00F53AB1" w:rsidRPr="00A85FEA" w:rsidRDefault="00F53AB1" w:rsidP="00607B87">
      <w:pPr>
        <w:jc w:val="both"/>
        <w:rPr>
          <w:rFonts w:cs="Arial"/>
          <w:szCs w:val="22"/>
        </w:rPr>
      </w:pPr>
    </w:p>
    <w:p w14:paraId="38B3FFCC" w14:textId="77777777" w:rsidR="00F53AB1" w:rsidRPr="00A85FEA" w:rsidRDefault="00F53AB1" w:rsidP="00607B87">
      <w:pPr>
        <w:jc w:val="both"/>
        <w:rPr>
          <w:rFonts w:cs="Arial"/>
          <w:szCs w:val="22"/>
        </w:rPr>
      </w:pPr>
      <w:r w:rsidRPr="00A85FEA">
        <w:rPr>
          <w:rFonts w:cs="Arial"/>
          <w:szCs w:val="22"/>
        </w:rPr>
        <w:t>Las partidas de propiedades, planta y equipo y activos intangibles se desagregarán según su naturaleza.</w:t>
      </w:r>
    </w:p>
    <w:p w14:paraId="6C690967" w14:textId="77777777" w:rsidR="00F53AB1" w:rsidRPr="00A85FEA" w:rsidRDefault="00F53AB1" w:rsidP="00607B87">
      <w:pPr>
        <w:jc w:val="both"/>
        <w:rPr>
          <w:rFonts w:cs="Arial"/>
          <w:szCs w:val="22"/>
        </w:rPr>
      </w:pPr>
      <w:r w:rsidRPr="00A85FEA">
        <w:rPr>
          <w:rFonts w:cs="Arial"/>
          <w:szCs w:val="22"/>
        </w:rPr>
        <w:t xml:space="preserve"> Las cuentas por cobrar se desagregarán en importes por cobrar por concepto de, ingresos no tributarios, prestación de servicios, transferencias y subvenciones, anticipos y otros importes. </w:t>
      </w:r>
    </w:p>
    <w:p w14:paraId="149A9B86" w14:textId="77777777" w:rsidR="00F53AB1" w:rsidRPr="00A85FEA" w:rsidRDefault="00F53AB1" w:rsidP="00607B87">
      <w:pPr>
        <w:jc w:val="both"/>
        <w:rPr>
          <w:rFonts w:cs="Arial"/>
          <w:szCs w:val="22"/>
        </w:rPr>
      </w:pPr>
      <w:r w:rsidRPr="00A85FEA">
        <w:rPr>
          <w:rFonts w:cs="Arial"/>
          <w:szCs w:val="22"/>
        </w:rPr>
        <w:t>Las provisiones se desglosarán de forma que se muestren por separado las que correspondan a litigios y demandas y demás</w:t>
      </w:r>
    </w:p>
    <w:p w14:paraId="0A4D14C3" w14:textId="77777777" w:rsidR="00F53AB1" w:rsidRPr="00A85FEA" w:rsidRDefault="00F53AB1" w:rsidP="00607B87">
      <w:pPr>
        <w:jc w:val="both"/>
        <w:rPr>
          <w:rFonts w:cs="Arial"/>
          <w:szCs w:val="22"/>
        </w:rPr>
      </w:pPr>
      <w:r w:rsidRPr="00A85FEA">
        <w:rPr>
          <w:rFonts w:cs="Arial"/>
          <w:szCs w:val="22"/>
        </w:rPr>
        <w:t xml:space="preserve">Las cuentas por pagar se desagregarán en subvenciones, transferencias e importes por pagar a proveedores y otros importes </w:t>
      </w:r>
    </w:p>
    <w:p w14:paraId="4A222F57" w14:textId="77777777" w:rsidR="00F53AB1" w:rsidRPr="00A85FEA" w:rsidRDefault="00F53AB1" w:rsidP="00607B87">
      <w:pPr>
        <w:jc w:val="both"/>
        <w:rPr>
          <w:rFonts w:cs="Arial"/>
          <w:szCs w:val="22"/>
        </w:rPr>
      </w:pPr>
      <w:r w:rsidRPr="00A85FEA">
        <w:rPr>
          <w:rFonts w:cs="Arial"/>
          <w:szCs w:val="22"/>
        </w:rPr>
        <w:t xml:space="preserve">Los componentes del patrimonio se desagregarán en capital fiscal, resultados acumulados y resultados del ejercicio, </w:t>
      </w:r>
    </w:p>
    <w:p w14:paraId="1C7F06C8" w14:textId="77777777" w:rsidR="00F53AB1" w:rsidRPr="00A85FEA" w:rsidRDefault="00F53AB1" w:rsidP="00D87929">
      <w:pPr>
        <w:rPr>
          <w:rFonts w:cs="Arial"/>
          <w:szCs w:val="22"/>
        </w:rPr>
      </w:pPr>
    </w:p>
    <w:p w14:paraId="5033E8E4" w14:textId="77777777" w:rsidR="00F53AB1" w:rsidRPr="00A85FEA" w:rsidRDefault="00F53AB1" w:rsidP="00D87929">
      <w:pPr>
        <w:rPr>
          <w:rFonts w:cs="Arial"/>
          <w:szCs w:val="22"/>
        </w:rPr>
      </w:pPr>
      <w:r w:rsidRPr="00A85FEA">
        <w:rPr>
          <w:rFonts w:cs="Arial"/>
          <w:szCs w:val="22"/>
        </w:rPr>
        <w:t xml:space="preserve">1.7.3. Estado de resultados </w:t>
      </w:r>
    </w:p>
    <w:p w14:paraId="727A628B" w14:textId="77777777" w:rsidR="00F53AB1" w:rsidRPr="00A85FEA" w:rsidRDefault="00F53AB1" w:rsidP="00D87929">
      <w:pPr>
        <w:rPr>
          <w:rFonts w:cs="Arial"/>
          <w:szCs w:val="22"/>
        </w:rPr>
      </w:pPr>
    </w:p>
    <w:p w14:paraId="5C236807" w14:textId="77777777" w:rsidR="00F53AB1" w:rsidRPr="00A85FEA" w:rsidRDefault="00F53AB1" w:rsidP="00607B87">
      <w:pPr>
        <w:jc w:val="both"/>
        <w:rPr>
          <w:rFonts w:cs="Arial"/>
          <w:szCs w:val="22"/>
        </w:rPr>
      </w:pPr>
      <w:r w:rsidRPr="00A85FEA">
        <w:rPr>
          <w:rFonts w:cs="Arial"/>
          <w:szCs w:val="22"/>
        </w:rPr>
        <w:t xml:space="preserve">El estado de resultados presenta las partidas de ingresos y gastos de la Corporación para el Desarrollo Sostenible del Norte y el Oriente Amazónico – CDA, con base en el flujo de ingresos generados y consumidos durante el periodo. </w:t>
      </w:r>
    </w:p>
    <w:p w14:paraId="555AC65C" w14:textId="77777777" w:rsidR="00F53AB1" w:rsidRPr="00A85FEA" w:rsidRDefault="00F53AB1" w:rsidP="00607B87">
      <w:pPr>
        <w:jc w:val="both"/>
        <w:rPr>
          <w:rFonts w:cs="Arial"/>
          <w:szCs w:val="22"/>
        </w:rPr>
      </w:pPr>
    </w:p>
    <w:p w14:paraId="16788DE4" w14:textId="77777777" w:rsidR="00F53AB1" w:rsidRPr="00A85FEA" w:rsidRDefault="00F53AB1" w:rsidP="00607B87">
      <w:pPr>
        <w:jc w:val="both"/>
        <w:rPr>
          <w:rFonts w:cs="Arial"/>
          <w:szCs w:val="22"/>
        </w:rPr>
      </w:pPr>
      <w:r w:rsidRPr="00A85FEA">
        <w:rPr>
          <w:rFonts w:cs="Arial"/>
          <w:szCs w:val="22"/>
        </w:rPr>
        <w:t>1.7.3.1 Información a presentar en el estado de resultados</w:t>
      </w:r>
    </w:p>
    <w:p w14:paraId="29E82ED5" w14:textId="77777777" w:rsidR="00F53AB1" w:rsidRPr="00A85FEA" w:rsidRDefault="00F53AB1" w:rsidP="00607B87">
      <w:pPr>
        <w:jc w:val="both"/>
        <w:rPr>
          <w:rFonts w:cs="Arial"/>
          <w:szCs w:val="22"/>
        </w:rPr>
      </w:pPr>
    </w:p>
    <w:p w14:paraId="4B597466" w14:textId="77777777" w:rsidR="00F53AB1" w:rsidRPr="00A85FEA" w:rsidRDefault="00F53AB1" w:rsidP="00607B87">
      <w:pPr>
        <w:jc w:val="both"/>
        <w:rPr>
          <w:rFonts w:cs="Arial"/>
          <w:szCs w:val="22"/>
        </w:rPr>
      </w:pPr>
      <w:r w:rsidRPr="00A85FEA">
        <w:rPr>
          <w:rFonts w:cs="Arial"/>
          <w:szCs w:val="22"/>
        </w:rPr>
        <w:t>Como mínimo, el estado de resultados incluirá partidas que presenten los siguientes importes:</w:t>
      </w:r>
    </w:p>
    <w:p w14:paraId="41D350C9" w14:textId="77777777" w:rsidR="00F53AB1" w:rsidRPr="00A85FEA" w:rsidRDefault="00F53AB1" w:rsidP="00607B87">
      <w:pPr>
        <w:jc w:val="both"/>
        <w:rPr>
          <w:rFonts w:cs="Arial"/>
          <w:szCs w:val="22"/>
        </w:rPr>
      </w:pPr>
    </w:p>
    <w:p w14:paraId="62CEFFCA" w14:textId="77777777" w:rsidR="00F53AB1" w:rsidRPr="00A85FEA" w:rsidRDefault="00F53AB1" w:rsidP="00607B87">
      <w:pPr>
        <w:jc w:val="both"/>
        <w:rPr>
          <w:rFonts w:cs="Arial"/>
          <w:szCs w:val="22"/>
        </w:rPr>
      </w:pPr>
      <w:r w:rsidRPr="00A85FEA">
        <w:rPr>
          <w:rFonts w:cs="Arial"/>
          <w:szCs w:val="22"/>
        </w:rPr>
        <w:t xml:space="preserve">los ingresos sin contraprestación; </w:t>
      </w:r>
    </w:p>
    <w:p w14:paraId="3A37E13E" w14:textId="77777777" w:rsidR="00F53AB1" w:rsidRPr="00A85FEA" w:rsidRDefault="00F53AB1" w:rsidP="00A85FEA">
      <w:pPr>
        <w:jc w:val="both"/>
        <w:rPr>
          <w:rFonts w:cs="Arial"/>
          <w:szCs w:val="22"/>
        </w:rPr>
      </w:pPr>
      <w:r w:rsidRPr="00A85FEA">
        <w:rPr>
          <w:rFonts w:cs="Arial"/>
          <w:szCs w:val="22"/>
        </w:rPr>
        <w:t>los gastos de administración y operación;</w:t>
      </w:r>
    </w:p>
    <w:p w14:paraId="0CC8E0D7" w14:textId="77777777" w:rsidR="00F53AB1" w:rsidRPr="00A85FEA" w:rsidRDefault="00F53AB1" w:rsidP="00A85FEA">
      <w:pPr>
        <w:jc w:val="both"/>
        <w:rPr>
          <w:rFonts w:cs="Arial"/>
          <w:szCs w:val="22"/>
        </w:rPr>
      </w:pPr>
      <w:r w:rsidRPr="00A85FEA">
        <w:rPr>
          <w:rFonts w:cs="Arial"/>
          <w:szCs w:val="22"/>
        </w:rPr>
        <w:lastRenderedPageBreak/>
        <w:t xml:space="preserve">el gasto público social; </w:t>
      </w:r>
    </w:p>
    <w:p w14:paraId="11665F5E" w14:textId="77777777" w:rsidR="00F53AB1" w:rsidRPr="00A85FEA" w:rsidRDefault="00F53AB1" w:rsidP="00A85FEA">
      <w:pPr>
        <w:jc w:val="both"/>
        <w:rPr>
          <w:rFonts w:cs="Arial"/>
          <w:szCs w:val="22"/>
        </w:rPr>
      </w:pPr>
      <w:r w:rsidRPr="00A85FEA">
        <w:rPr>
          <w:rFonts w:cs="Arial"/>
          <w:szCs w:val="22"/>
        </w:rPr>
        <w:t>las ganancias y pérdidas que surjan de la baja en cuentas de activos y</w:t>
      </w:r>
    </w:p>
    <w:p w14:paraId="1F6542A9" w14:textId="77777777" w:rsidR="00F53AB1" w:rsidRPr="00A85FEA" w:rsidRDefault="00F53AB1" w:rsidP="00A85FEA">
      <w:pPr>
        <w:jc w:val="both"/>
        <w:rPr>
          <w:rFonts w:cs="Arial"/>
          <w:szCs w:val="22"/>
        </w:rPr>
      </w:pPr>
      <w:r w:rsidRPr="00A85FEA">
        <w:rPr>
          <w:rFonts w:cs="Arial"/>
          <w:szCs w:val="22"/>
        </w:rPr>
        <w:t xml:space="preserve">los costos financieros. </w:t>
      </w:r>
    </w:p>
    <w:p w14:paraId="0ABB1900" w14:textId="77777777" w:rsidR="00F53AB1" w:rsidRPr="00A85FEA" w:rsidRDefault="00F53AB1" w:rsidP="00A85FEA">
      <w:pPr>
        <w:jc w:val="both"/>
        <w:rPr>
          <w:rFonts w:cs="Arial"/>
          <w:szCs w:val="22"/>
        </w:rPr>
      </w:pPr>
    </w:p>
    <w:p w14:paraId="46BAD30A" w14:textId="77777777" w:rsidR="00F53AB1" w:rsidRPr="00A85FEA" w:rsidRDefault="00F53AB1" w:rsidP="00A85FEA">
      <w:pPr>
        <w:jc w:val="both"/>
        <w:rPr>
          <w:rFonts w:cs="Arial"/>
          <w:szCs w:val="22"/>
        </w:rPr>
      </w:pPr>
      <w:r w:rsidRPr="00A85FEA">
        <w:rPr>
          <w:rFonts w:cs="Arial"/>
          <w:szCs w:val="22"/>
        </w:rPr>
        <w:t>La Corporación para el Desarrollo Sostenible del Norte y el Oriente Amazónico – CDA presentará, en el estado de resultados, partidas adicionales, encabezamientos y subtotales, cuando la magnitud, naturaleza o función de estos sea tal que la presentación por separado resulte relevante para comprender el rendimiento financiero de entidad.</w:t>
      </w:r>
    </w:p>
    <w:p w14:paraId="083F0FC3" w14:textId="77777777" w:rsidR="00F53AB1" w:rsidRPr="00A85FEA" w:rsidRDefault="00F53AB1" w:rsidP="00A85FEA">
      <w:pPr>
        <w:jc w:val="both"/>
        <w:rPr>
          <w:rFonts w:cs="Arial"/>
          <w:szCs w:val="22"/>
        </w:rPr>
      </w:pPr>
    </w:p>
    <w:p w14:paraId="764C593E"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no presentará ninguna partida de ingreso o gasto como partidas extraordinarias en el estado de resultados o en las notas. </w:t>
      </w:r>
    </w:p>
    <w:p w14:paraId="6A08A292" w14:textId="77777777" w:rsidR="00F53AB1" w:rsidRPr="00A85FEA" w:rsidRDefault="00F53AB1" w:rsidP="00A85FEA">
      <w:pPr>
        <w:jc w:val="both"/>
        <w:rPr>
          <w:rFonts w:cs="Arial"/>
          <w:szCs w:val="22"/>
        </w:rPr>
      </w:pPr>
    </w:p>
    <w:p w14:paraId="6851AF67" w14:textId="77777777" w:rsidR="00F53AB1" w:rsidRPr="00A85FEA" w:rsidRDefault="00F53AB1" w:rsidP="00A85FEA">
      <w:pPr>
        <w:jc w:val="both"/>
        <w:rPr>
          <w:rFonts w:cs="Arial"/>
          <w:szCs w:val="22"/>
        </w:rPr>
      </w:pPr>
      <w:r w:rsidRPr="00A85FEA">
        <w:rPr>
          <w:rFonts w:cs="Arial"/>
          <w:szCs w:val="22"/>
        </w:rPr>
        <w:t xml:space="preserve">1.7.3.2 Información a presentar en el estado de resultados o en las notas </w:t>
      </w:r>
    </w:p>
    <w:p w14:paraId="20C2DFA2" w14:textId="77777777" w:rsidR="00F53AB1" w:rsidRPr="00A85FEA" w:rsidRDefault="00F53AB1" w:rsidP="00A85FEA">
      <w:pPr>
        <w:jc w:val="both"/>
        <w:rPr>
          <w:rFonts w:cs="Arial"/>
          <w:szCs w:val="22"/>
        </w:rPr>
      </w:pPr>
    </w:p>
    <w:p w14:paraId="6F09FBD4"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presentará un desglose de los gastos utilizando una clasificación basada en su función dentro de la entidad. Según esta clasificación, como mínimo, presentará sus gastos asociados a las funciones principales llevadas a cabo por esta de forma separada. Igualmente, se revelará información adicional sobre la naturaleza de los gastos que incluya, entre otros, los gastos por depreciación, amortización y el gasto por beneficios a los empleados. </w:t>
      </w:r>
    </w:p>
    <w:p w14:paraId="6D0ED3C6" w14:textId="77777777" w:rsidR="00F53AB1" w:rsidRPr="00A85FEA" w:rsidRDefault="00F53AB1" w:rsidP="00A85FEA">
      <w:pPr>
        <w:jc w:val="both"/>
        <w:rPr>
          <w:rFonts w:cs="Arial"/>
          <w:szCs w:val="22"/>
        </w:rPr>
      </w:pPr>
    </w:p>
    <w:p w14:paraId="6CDF3229" w14:textId="77777777" w:rsidR="00F53AB1" w:rsidRPr="00A85FEA" w:rsidRDefault="00F53AB1" w:rsidP="00A85FEA">
      <w:pPr>
        <w:jc w:val="both"/>
        <w:rPr>
          <w:rFonts w:cs="Arial"/>
          <w:szCs w:val="22"/>
        </w:rPr>
      </w:pPr>
      <w:r w:rsidRPr="00A85FEA">
        <w:rPr>
          <w:rFonts w:cs="Arial"/>
          <w:szCs w:val="22"/>
        </w:rPr>
        <w:t xml:space="preserve">Cuando las partidas de ingreso o gasto sean materiales, la entidad revelará de forma separada, información sobre su naturaleza e importe. En todo caso, con independencia de la materialidad, la entidad revelará de forma separada, las partidas de ingresos o gastos relacionadas con lo siguiente: </w:t>
      </w:r>
    </w:p>
    <w:p w14:paraId="49944A00" w14:textId="77777777" w:rsidR="00F53AB1" w:rsidRPr="00A85FEA" w:rsidRDefault="00F53AB1" w:rsidP="00D87929">
      <w:pPr>
        <w:rPr>
          <w:rFonts w:cs="Arial"/>
          <w:szCs w:val="22"/>
        </w:rPr>
      </w:pPr>
    </w:p>
    <w:p w14:paraId="58E7CC9F" w14:textId="77777777" w:rsidR="00F53AB1" w:rsidRPr="00A85FEA" w:rsidRDefault="00F53AB1" w:rsidP="00D87929">
      <w:pPr>
        <w:rPr>
          <w:rFonts w:cs="Arial"/>
          <w:szCs w:val="22"/>
        </w:rPr>
      </w:pPr>
      <w:r w:rsidRPr="00A85FEA">
        <w:rPr>
          <w:rFonts w:cs="Arial"/>
          <w:szCs w:val="22"/>
        </w:rPr>
        <w:t xml:space="preserve">transferencias; </w:t>
      </w:r>
    </w:p>
    <w:p w14:paraId="4FA1DBCF" w14:textId="77777777" w:rsidR="00F53AB1" w:rsidRPr="00A85FEA" w:rsidRDefault="00F53AB1" w:rsidP="00D87929">
      <w:pPr>
        <w:rPr>
          <w:rFonts w:cs="Arial"/>
          <w:szCs w:val="22"/>
        </w:rPr>
      </w:pPr>
      <w:r w:rsidRPr="00A85FEA">
        <w:rPr>
          <w:rFonts w:cs="Arial"/>
          <w:szCs w:val="22"/>
        </w:rPr>
        <w:t xml:space="preserve">ingresos y gastos financieros; </w:t>
      </w:r>
    </w:p>
    <w:p w14:paraId="0F7A6B32" w14:textId="77777777" w:rsidR="00F53AB1" w:rsidRPr="00A85FEA" w:rsidRDefault="00F53AB1" w:rsidP="00D87929">
      <w:pPr>
        <w:rPr>
          <w:rFonts w:cs="Arial"/>
          <w:szCs w:val="22"/>
        </w:rPr>
      </w:pPr>
      <w:r w:rsidRPr="00A85FEA">
        <w:rPr>
          <w:rFonts w:cs="Arial"/>
          <w:szCs w:val="22"/>
        </w:rPr>
        <w:t xml:space="preserve">beneficios a los empleados; </w:t>
      </w:r>
    </w:p>
    <w:p w14:paraId="666F0C38" w14:textId="77777777" w:rsidR="00F53AB1" w:rsidRPr="00A85FEA" w:rsidRDefault="00F53AB1" w:rsidP="00D87929">
      <w:pPr>
        <w:rPr>
          <w:rFonts w:cs="Arial"/>
          <w:szCs w:val="22"/>
        </w:rPr>
      </w:pPr>
      <w:r w:rsidRPr="00A85FEA">
        <w:rPr>
          <w:rFonts w:cs="Arial"/>
          <w:szCs w:val="22"/>
        </w:rPr>
        <w:t xml:space="preserve">depreciaciones y amortizaciones de activos; y </w:t>
      </w:r>
    </w:p>
    <w:p w14:paraId="4D349CE1" w14:textId="77777777" w:rsidR="00F53AB1" w:rsidRPr="00A85FEA" w:rsidRDefault="00F53AB1" w:rsidP="00D87929">
      <w:pPr>
        <w:rPr>
          <w:rFonts w:cs="Arial"/>
          <w:szCs w:val="22"/>
        </w:rPr>
      </w:pPr>
      <w:r w:rsidRPr="00A85FEA">
        <w:rPr>
          <w:rFonts w:cs="Arial"/>
          <w:szCs w:val="22"/>
        </w:rPr>
        <w:t xml:space="preserve">deterioro del valor de los activos, reconocido o revertido durante el periodo contable. </w:t>
      </w:r>
    </w:p>
    <w:p w14:paraId="76734A16" w14:textId="77777777" w:rsidR="00F53AB1" w:rsidRPr="00A85FEA" w:rsidRDefault="00F53AB1" w:rsidP="00D87929">
      <w:pPr>
        <w:rPr>
          <w:rFonts w:cs="Arial"/>
          <w:szCs w:val="22"/>
        </w:rPr>
      </w:pPr>
    </w:p>
    <w:p w14:paraId="3FEE32D7" w14:textId="77777777" w:rsidR="00F53AB1" w:rsidRPr="00A85FEA" w:rsidRDefault="00F53AB1" w:rsidP="00D87929">
      <w:pPr>
        <w:rPr>
          <w:rFonts w:cs="Arial"/>
          <w:szCs w:val="22"/>
        </w:rPr>
      </w:pPr>
      <w:r w:rsidRPr="00A85FEA">
        <w:rPr>
          <w:rFonts w:cs="Arial"/>
          <w:szCs w:val="22"/>
        </w:rPr>
        <w:t xml:space="preserve">1.7.4. Estado de cambios en el patrimonio </w:t>
      </w:r>
    </w:p>
    <w:p w14:paraId="30213DE5" w14:textId="77777777" w:rsidR="00F53AB1" w:rsidRPr="00A85FEA" w:rsidRDefault="00F53AB1" w:rsidP="00D87929">
      <w:pPr>
        <w:rPr>
          <w:rFonts w:cs="Arial"/>
          <w:szCs w:val="22"/>
        </w:rPr>
      </w:pPr>
    </w:p>
    <w:p w14:paraId="0650413A" w14:textId="77777777" w:rsidR="00F53AB1" w:rsidRPr="00A85FEA" w:rsidRDefault="00F53AB1" w:rsidP="00A85FEA">
      <w:pPr>
        <w:jc w:val="both"/>
        <w:rPr>
          <w:rFonts w:cs="Arial"/>
          <w:szCs w:val="22"/>
        </w:rPr>
      </w:pPr>
      <w:r w:rsidRPr="00A85FEA">
        <w:rPr>
          <w:rFonts w:cs="Arial"/>
          <w:szCs w:val="22"/>
        </w:rPr>
        <w:t>El estado de cambios en el patrimonio presenta las variaciones de las partidas del patrimonio en forma detallada, clasificada y comparativa entre un periodo y otro.</w:t>
      </w:r>
    </w:p>
    <w:p w14:paraId="4FE3090A" w14:textId="77777777" w:rsidR="00F53AB1" w:rsidRPr="00A85FEA" w:rsidRDefault="00F53AB1" w:rsidP="00A85FEA">
      <w:pPr>
        <w:jc w:val="both"/>
        <w:rPr>
          <w:rFonts w:cs="Arial"/>
          <w:szCs w:val="22"/>
        </w:rPr>
      </w:pPr>
    </w:p>
    <w:p w14:paraId="53DE9C99" w14:textId="77777777" w:rsidR="00F53AB1" w:rsidRPr="00A85FEA" w:rsidRDefault="00F53AB1" w:rsidP="00A85FEA">
      <w:pPr>
        <w:jc w:val="both"/>
        <w:rPr>
          <w:rFonts w:cs="Arial"/>
          <w:szCs w:val="22"/>
        </w:rPr>
      </w:pPr>
      <w:r w:rsidRPr="00A85FEA">
        <w:rPr>
          <w:rFonts w:cs="Arial"/>
          <w:szCs w:val="22"/>
        </w:rPr>
        <w:t>1.7.4.1 Información a presentar en el estado de cambios en el patrimonio</w:t>
      </w:r>
    </w:p>
    <w:p w14:paraId="1E2A7CDD" w14:textId="77777777" w:rsidR="00F53AB1" w:rsidRPr="00A85FEA" w:rsidRDefault="00F53AB1" w:rsidP="00A85FEA">
      <w:pPr>
        <w:jc w:val="both"/>
        <w:rPr>
          <w:rFonts w:cs="Arial"/>
          <w:szCs w:val="22"/>
        </w:rPr>
      </w:pPr>
    </w:p>
    <w:p w14:paraId="5F04F79C" w14:textId="77777777" w:rsidR="00F53AB1" w:rsidRPr="00A85FEA" w:rsidRDefault="00F53AB1" w:rsidP="00A85FEA">
      <w:pPr>
        <w:jc w:val="both"/>
        <w:rPr>
          <w:rFonts w:cs="Arial"/>
          <w:szCs w:val="22"/>
        </w:rPr>
      </w:pPr>
      <w:r w:rsidRPr="00A85FEA">
        <w:rPr>
          <w:rFonts w:cs="Arial"/>
          <w:szCs w:val="22"/>
        </w:rPr>
        <w:t>El estado de cambios en el patrimonio incluirá la siguiente información:</w:t>
      </w:r>
    </w:p>
    <w:p w14:paraId="5C9C06E5" w14:textId="77777777" w:rsidR="00F53AB1" w:rsidRPr="00A85FEA" w:rsidRDefault="00F53AB1" w:rsidP="00A85FEA">
      <w:pPr>
        <w:jc w:val="both"/>
        <w:rPr>
          <w:rFonts w:cs="Arial"/>
          <w:szCs w:val="22"/>
        </w:rPr>
      </w:pPr>
      <w:r w:rsidRPr="00A85FEA">
        <w:rPr>
          <w:rFonts w:cs="Arial"/>
          <w:szCs w:val="22"/>
        </w:rPr>
        <w:lastRenderedPageBreak/>
        <w:t>cada partida de ingresos y gastos del periodo que se haya reconocido directamente en el patrimonio, según lo requerido por otras normas, y el total de estas partidas;</w:t>
      </w:r>
    </w:p>
    <w:p w14:paraId="68C15642" w14:textId="77777777" w:rsidR="00F53AB1" w:rsidRPr="00A85FEA" w:rsidRDefault="00F53AB1" w:rsidP="00A85FEA">
      <w:pPr>
        <w:jc w:val="both"/>
        <w:rPr>
          <w:rFonts w:cs="Arial"/>
          <w:szCs w:val="22"/>
        </w:rPr>
      </w:pPr>
      <w:r w:rsidRPr="00A85FEA">
        <w:rPr>
          <w:rFonts w:cs="Arial"/>
          <w:szCs w:val="22"/>
        </w:rPr>
        <w:t>el resultado del periodo mostrando, de forma separada y</w:t>
      </w:r>
    </w:p>
    <w:p w14:paraId="5C16FE5D" w14:textId="77777777" w:rsidR="00F53AB1" w:rsidRPr="00A85FEA" w:rsidRDefault="00F53AB1" w:rsidP="00A85FEA">
      <w:pPr>
        <w:jc w:val="both"/>
        <w:rPr>
          <w:rStyle w:val="apple-converted-space"/>
          <w:rFonts w:cs="Arial"/>
          <w:szCs w:val="22"/>
        </w:rPr>
      </w:pPr>
      <w:r w:rsidRPr="00A85FEA">
        <w:rPr>
          <w:rFonts w:cs="Arial"/>
          <w:szCs w:val="22"/>
        </w:rPr>
        <w:t>los efectos de la aplicación o reexpresión retroactiva reconocidos de acuerdo con la Norma de políticas contables, cambios en las estimaciones contables y corrección de errores, para cada componente de patrimonio.</w:t>
      </w:r>
    </w:p>
    <w:p w14:paraId="79290E33" w14:textId="77777777" w:rsidR="00F53AB1" w:rsidRPr="00A85FEA" w:rsidRDefault="00F53AB1" w:rsidP="00A85FEA">
      <w:pPr>
        <w:jc w:val="both"/>
        <w:rPr>
          <w:rFonts w:cs="Arial"/>
          <w:szCs w:val="22"/>
        </w:rPr>
      </w:pPr>
    </w:p>
    <w:p w14:paraId="3712A141" w14:textId="77777777" w:rsidR="00F53AB1" w:rsidRPr="00A85FEA" w:rsidRDefault="00F53AB1" w:rsidP="00A85FEA">
      <w:pPr>
        <w:jc w:val="both"/>
        <w:rPr>
          <w:rFonts w:cs="Arial"/>
          <w:szCs w:val="22"/>
        </w:rPr>
      </w:pPr>
      <w:r w:rsidRPr="00A85FEA">
        <w:rPr>
          <w:rFonts w:cs="Arial"/>
          <w:szCs w:val="22"/>
        </w:rPr>
        <w:t xml:space="preserve">1.7.4.2 Información a presentar en el estado de cambios en el patrimonio o en las notas </w:t>
      </w:r>
    </w:p>
    <w:p w14:paraId="60C115A6" w14:textId="77777777" w:rsidR="00F53AB1" w:rsidRPr="00A85FEA" w:rsidRDefault="00F53AB1" w:rsidP="00A85FEA">
      <w:pPr>
        <w:jc w:val="both"/>
        <w:rPr>
          <w:rFonts w:cs="Arial"/>
          <w:szCs w:val="22"/>
        </w:rPr>
      </w:pPr>
    </w:p>
    <w:p w14:paraId="6A6875BE"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presentará, para cada componente del patrimonio, ya sea en el estado de cambios en el patrimonio o en las notas, la siguiente información: </w:t>
      </w:r>
    </w:p>
    <w:p w14:paraId="4479DE34" w14:textId="77777777" w:rsidR="00F53AB1" w:rsidRPr="00A85FEA" w:rsidRDefault="00F53AB1" w:rsidP="00A85FEA">
      <w:pPr>
        <w:jc w:val="both"/>
        <w:rPr>
          <w:rFonts w:cs="Arial"/>
          <w:szCs w:val="22"/>
        </w:rPr>
      </w:pPr>
    </w:p>
    <w:p w14:paraId="124E451D" w14:textId="77777777" w:rsidR="00F53AB1" w:rsidRPr="00A85FEA" w:rsidRDefault="00F53AB1" w:rsidP="00A85FEA">
      <w:pPr>
        <w:jc w:val="both"/>
        <w:rPr>
          <w:rFonts w:cs="Arial"/>
          <w:szCs w:val="22"/>
        </w:rPr>
      </w:pPr>
      <w:r w:rsidRPr="00A85FEA">
        <w:rPr>
          <w:rFonts w:cs="Arial"/>
          <w:szCs w:val="22"/>
        </w:rPr>
        <w:t xml:space="preserve">el valor de los incrementos de capital </w:t>
      </w:r>
    </w:p>
    <w:p w14:paraId="5FBE234E" w14:textId="77777777" w:rsidR="00F53AB1" w:rsidRPr="00A85FEA" w:rsidRDefault="00F53AB1" w:rsidP="00A85FEA">
      <w:pPr>
        <w:jc w:val="both"/>
        <w:rPr>
          <w:rFonts w:cs="Arial"/>
          <w:szCs w:val="22"/>
        </w:rPr>
      </w:pPr>
      <w:r w:rsidRPr="00A85FEA">
        <w:rPr>
          <w:rFonts w:cs="Arial"/>
          <w:szCs w:val="22"/>
        </w:rPr>
        <w:t xml:space="preserve">el saldo de los resultados acumulados al inicio y al final del periodo contable, y los cambios durante el periodo; y </w:t>
      </w:r>
    </w:p>
    <w:p w14:paraId="1C5D42E7" w14:textId="77777777" w:rsidR="00F53AB1" w:rsidRPr="00A85FEA" w:rsidRDefault="00F53AB1" w:rsidP="00A85FEA">
      <w:pPr>
        <w:jc w:val="both"/>
        <w:rPr>
          <w:rFonts w:cs="Arial"/>
          <w:szCs w:val="22"/>
        </w:rPr>
      </w:pPr>
      <w:r w:rsidRPr="00A85FEA">
        <w:rPr>
          <w:rFonts w:cs="Arial"/>
          <w:szCs w:val="22"/>
        </w:rPr>
        <w:t xml:space="preserve">una conciliación entre los valores en libros al inicio y al final del periodo contable para cada componente del patrimonio, informando por separado cada cambio. </w:t>
      </w:r>
    </w:p>
    <w:p w14:paraId="40DC4A0C" w14:textId="77777777" w:rsidR="00F53AB1" w:rsidRPr="00A85FEA" w:rsidRDefault="00F53AB1" w:rsidP="00A85FEA">
      <w:pPr>
        <w:jc w:val="both"/>
        <w:rPr>
          <w:rFonts w:cs="Arial"/>
          <w:szCs w:val="22"/>
        </w:rPr>
      </w:pPr>
    </w:p>
    <w:p w14:paraId="5E1175B1" w14:textId="77777777" w:rsidR="00F53AB1" w:rsidRPr="00A85FEA" w:rsidRDefault="00F53AB1" w:rsidP="00A85FEA">
      <w:pPr>
        <w:jc w:val="both"/>
        <w:rPr>
          <w:rFonts w:cs="Arial"/>
          <w:szCs w:val="22"/>
        </w:rPr>
      </w:pPr>
      <w:r w:rsidRPr="00A85FEA">
        <w:rPr>
          <w:rFonts w:cs="Arial"/>
          <w:szCs w:val="22"/>
        </w:rPr>
        <w:t xml:space="preserve">1.7.5. Estado de flujos de efectivo </w:t>
      </w:r>
    </w:p>
    <w:p w14:paraId="5EDCDE24" w14:textId="77777777" w:rsidR="00F53AB1" w:rsidRPr="00A85FEA" w:rsidRDefault="00F53AB1" w:rsidP="00A85FEA">
      <w:pPr>
        <w:jc w:val="both"/>
        <w:rPr>
          <w:rFonts w:cs="Arial"/>
          <w:szCs w:val="22"/>
        </w:rPr>
      </w:pPr>
    </w:p>
    <w:p w14:paraId="5A42F8EC" w14:textId="77777777" w:rsidR="00F53AB1" w:rsidRPr="00A85FEA" w:rsidRDefault="00F53AB1" w:rsidP="00A85FEA">
      <w:pPr>
        <w:jc w:val="both"/>
        <w:rPr>
          <w:rFonts w:cs="Arial"/>
          <w:szCs w:val="22"/>
        </w:rPr>
      </w:pPr>
      <w:r w:rsidRPr="00A85FEA">
        <w:rPr>
          <w:rFonts w:cs="Arial"/>
          <w:szCs w:val="22"/>
        </w:rPr>
        <w:t xml:space="preserve">El estado de flujos de efectivo presenta los fondos provistos y utilizados por la entidad, en desarrollo de sus actividades de operación, inversión y financiación, durante el periodo contable. </w:t>
      </w:r>
    </w:p>
    <w:p w14:paraId="56545A83" w14:textId="77777777" w:rsidR="00F53AB1" w:rsidRPr="00A85FEA" w:rsidRDefault="00F53AB1" w:rsidP="00A85FEA">
      <w:pPr>
        <w:jc w:val="both"/>
        <w:rPr>
          <w:rFonts w:cs="Arial"/>
          <w:szCs w:val="22"/>
        </w:rPr>
      </w:pPr>
    </w:p>
    <w:p w14:paraId="7D213930" w14:textId="77777777" w:rsidR="00F53AB1" w:rsidRPr="00A85FEA" w:rsidRDefault="00F53AB1" w:rsidP="00A85FEA">
      <w:pPr>
        <w:jc w:val="both"/>
        <w:rPr>
          <w:rFonts w:cs="Arial"/>
          <w:szCs w:val="22"/>
        </w:rPr>
      </w:pPr>
      <w:r w:rsidRPr="00A85FEA">
        <w:rPr>
          <w:rFonts w:cs="Arial"/>
          <w:szCs w:val="22"/>
        </w:rPr>
        <w:t xml:space="preserve">Los flujos de efectivo son las entradas y salidas de efectivo y equivalentes al efectivo. </w:t>
      </w:r>
    </w:p>
    <w:p w14:paraId="7E9BF253" w14:textId="77777777" w:rsidR="00F53AB1" w:rsidRPr="00A85FEA" w:rsidRDefault="00F53AB1" w:rsidP="00A85FEA">
      <w:pPr>
        <w:jc w:val="both"/>
        <w:rPr>
          <w:rFonts w:cs="Arial"/>
          <w:szCs w:val="22"/>
        </w:rPr>
      </w:pPr>
    </w:p>
    <w:p w14:paraId="3FAC5F27" w14:textId="77777777" w:rsidR="00F53AB1" w:rsidRPr="00A85FEA" w:rsidRDefault="00F53AB1" w:rsidP="00A85FEA">
      <w:pPr>
        <w:jc w:val="both"/>
        <w:rPr>
          <w:rFonts w:cs="Arial"/>
          <w:szCs w:val="22"/>
        </w:rPr>
      </w:pPr>
      <w:r w:rsidRPr="00A85FEA">
        <w:rPr>
          <w:rFonts w:cs="Arial"/>
          <w:szCs w:val="22"/>
        </w:rPr>
        <w:t xml:space="preserve">El efectivo comprende el dinero en caja y los depósitos a la vista. </w:t>
      </w:r>
    </w:p>
    <w:p w14:paraId="52CB1E87" w14:textId="77777777" w:rsidR="00F53AB1" w:rsidRPr="00A85FEA" w:rsidRDefault="00F53AB1" w:rsidP="00A85FEA">
      <w:pPr>
        <w:jc w:val="both"/>
        <w:rPr>
          <w:rFonts w:cs="Arial"/>
          <w:szCs w:val="22"/>
        </w:rPr>
      </w:pPr>
    </w:p>
    <w:p w14:paraId="555F0632" w14:textId="77777777" w:rsidR="00F53AB1" w:rsidRPr="00A85FEA" w:rsidRDefault="00F53AB1" w:rsidP="00A85FEA">
      <w:pPr>
        <w:jc w:val="both"/>
        <w:rPr>
          <w:rFonts w:cs="Arial"/>
          <w:szCs w:val="22"/>
        </w:rPr>
      </w:pPr>
      <w:r w:rsidRPr="00A85FEA">
        <w:rPr>
          <w:rFonts w:cs="Arial"/>
          <w:szCs w:val="22"/>
        </w:rPr>
        <w:t xml:space="preserve">Los equivalentes al efectivo representan inversiones a corto plazo de alta liquidez que son fácilmente convertibles en efectivo, que se mantienen para cumplir con los compromisos de pago a corto plazo más que para propósitos de inversión y que están sujetas a un riesgo poco significativo de cambios en su valor. </w:t>
      </w:r>
    </w:p>
    <w:p w14:paraId="397D8E3F" w14:textId="77777777" w:rsidR="00F53AB1" w:rsidRPr="00A85FEA" w:rsidRDefault="00F53AB1" w:rsidP="00D87929">
      <w:pPr>
        <w:rPr>
          <w:rFonts w:cs="Arial"/>
          <w:szCs w:val="22"/>
        </w:rPr>
      </w:pPr>
    </w:p>
    <w:p w14:paraId="20C6D7D0" w14:textId="77777777" w:rsidR="00F53AB1" w:rsidRPr="00A85FEA" w:rsidRDefault="00F53AB1" w:rsidP="00A85FEA">
      <w:pPr>
        <w:jc w:val="both"/>
        <w:rPr>
          <w:rFonts w:cs="Arial"/>
          <w:szCs w:val="22"/>
        </w:rPr>
      </w:pPr>
      <w:r w:rsidRPr="00A85FEA">
        <w:rPr>
          <w:rFonts w:cs="Arial"/>
          <w:szCs w:val="22"/>
        </w:rPr>
        <w:t>Las entidades que realicen recaudos o pagos con recursos del fondo común de una tesorería centralizada no incluirán dentro de su estado de flujos de efectivo dichos recaudos o pagos, considerando que estos se incluirán en el estado de flujos de efectivo de la tesorería centralizada. Para tal efecto, se entiende que el fondo común está conformado por los recursos recaudados por la tesorería centralizada, que financian el pago de obligaciones originadas en la ejecución del presupuesto de gastos de una entidad del mismo nivel.</w:t>
      </w:r>
    </w:p>
    <w:p w14:paraId="075200A3" w14:textId="77777777" w:rsidR="00F53AB1" w:rsidRPr="00A85FEA" w:rsidRDefault="00F53AB1" w:rsidP="00D87929">
      <w:pPr>
        <w:rPr>
          <w:rFonts w:cs="Arial"/>
          <w:szCs w:val="22"/>
        </w:rPr>
      </w:pPr>
    </w:p>
    <w:p w14:paraId="6FEF17EC" w14:textId="77777777" w:rsidR="00F53AB1" w:rsidRPr="00A85FEA" w:rsidRDefault="00F53AB1" w:rsidP="00D87929">
      <w:pPr>
        <w:rPr>
          <w:rFonts w:cs="Arial"/>
          <w:szCs w:val="22"/>
        </w:rPr>
      </w:pPr>
      <w:r w:rsidRPr="00A85FEA">
        <w:rPr>
          <w:rFonts w:cs="Arial"/>
          <w:szCs w:val="22"/>
        </w:rPr>
        <w:t xml:space="preserve">1.7.5.1 Presentación </w:t>
      </w:r>
    </w:p>
    <w:p w14:paraId="4275A71B" w14:textId="77777777" w:rsidR="00F53AB1" w:rsidRPr="00A85FEA" w:rsidRDefault="00F53AB1" w:rsidP="00D87929">
      <w:pPr>
        <w:rPr>
          <w:rFonts w:cs="Arial"/>
          <w:szCs w:val="22"/>
        </w:rPr>
      </w:pPr>
    </w:p>
    <w:p w14:paraId="36987FB7" w14:textId="77777777" w:rsidR="00F53AB1" w:rsidRPr="00A85FEA" w:rsidRDefault="00F53AB1" w:rsidP="00A85FEA">
      <w:pPr>
        <w:jc w:val="both"/>
        <w:rPr>
          <w:rFonts w:cs="Arial"/>
          <w:szCs w:val="22"/>
        </w:rPr>
      </w:pPr>
      <w:r w:rsidRPr="00A85FEA">
        <w:rPr>
          <w:rFonts w:cs="Arial"/>
          <w:szCs w:val="22"/>
        </w:rPr>
        <w:t xml:space="preserve">Para la elaboración y presentación del estado de flujos de efectivo, la Corporación para el Desarrollo Sostenible del Norte y el Oriente Amazónico – CDA realizará una clasificación de los flujos de efectivo del periodo en actividades de operación, de inversión y de financiación, atendiendo la naturaleza de estas. </w:t>
      </w:r>
    </w:p>
    <w:p w14:paraId="13685F35" w14:textId="77777777" w:rsidR="00F53AB1" w:rsidRPr="00A85FEA" w:rsidRDefault="00F53AB1" w:rsidP="00D87929">
      <w:pPr>
        <w:rPr>
          <w:rFonts w:cs="Arial"/>
          <w:szCs w:val="22"/>
        </w:rPr>
      </w:pPr>
    </w:p>
    <w:p w14:paraId="261931EC" w14:textId="77777777" w:rsidR="00F53AB1" w:rsidRPr="00A85FEA" w:rsidRDefault="00F53AB1" w:rsidP="00D87929">
      <w:pPr>
        <w:rPr>
          <w:rFonts w:cs="Arial"/>
          <w:szCs w:val="22"/>
        </w:rPr>
      </w:pPr>
      <w:r w:rsidRPr="00A85FEA">
        <w:rPr>
          <w:rFonts w:cs="Arial"/>
          <w:szCs w:val="22"/>
        </w:rPr>
        <w:t xml:space="preserve">1.7.5.1.1 Actividades de operación </w:t>
      </w:r>
    </w:p>
    <w:p w14:paraId="2F9CF105" w14:textId="77777777" w:rsidR="00F53AB1" w:rsidRPr="00A85FEA" w:rsidRDefault="00F53AB1" w:rsidP="00D87929">
      <w:pPr>
        <w:rPr>
          <w:rFonts w:cs="Arial"/>
          <w:szCs w:val="22"/>
        </w:rPr>
      </w:pPr>
    </w:p>
    <w:p w14:paraId="32D70ED4" w14:textId="77777777" w:rsidR="00F53AB1" w:rsidRPr="00A85FEA" w:rsidRDefault="00F53AB1" w:rsidP="00A85FEA">
      <w:pPr>
        <w:jc w:val="both"/>
        <w:rPr>
          <w:rFonts w:cs="Arial"/>
          <w:szCs w:val="22"/>
        </w:rPr>
      </w:pPr>
      <w:r w:rsidRPr="00A85FEA">
        <w:rPr>
          <w:rFonts w:cs="Arial"/>
          <w:szCs w:val="22"/>
        </w:rPr>
        <w:t>Son las actividades que realiza, la Corporación para el Desarrollo Sostenible del Norte y el Oriente Amazónico – CDA en cumplimiento de su cometido estatal y que no pueden calificarse como de inversión o financiación; como las siguientes:</w:t>
      </w:r>
    </w:p>
    <w:p w14:paraId="7F60B5D3" w14:textId="77777777" w:rsidR="00F53AB1" w:rsidRPr="00A85FEA" w:rsidRDefault="00F53AB1" w:rsidP="00A85FEA">
      <w:pPr>
        <w:jc w:val="both"/>
        <w:rPr>
          <w:rFonts w:cs="Arial"/>
          <w:szCs w:val="22"/>
        </w:rPr>
      </w:pPr>
    </w:p>
    <w:p w14:paraId="3C2C658D" w14:textId="77777777" w:rsidR="00F53AB1" w:rsidRPr="00A85FEA" w:rsidRDefault="00F53AB1" w:rsidP="00A85FEA">
      <w:pPr>
        <w:jc w:val="both"/>
        <w:rPr>
          <w:rFonts w:cs="Arial"/>
          <w:szCs w:val="22"/>
        </w:rPr>
      </w:pPr>
      <w:r w:rsidRPr="00A85FEA">
        <w:rPr>
          <w:rFonts w:cs="Arial"/>
          <w:szCs w:val="22"/>
        </w:rPr>
        <w:t xml:space="preserve">los recaudos en efectivo procedentes, retribuciones, sanciones, multas, evaluación y seguimiento y porcentaje y sobretasa ambiental al impuesto predial; </w:t>
      </w:r>
    </w:p>
    <w:p w14:paraId="0E409C7B" w14:textId="77777777" w:rsidR="00F53AB1" w:rsidRPr="00A85FEA" w:rsidRDefault="00F53AB1" w:rsidP="00A85FEA">
      <w:pPr>
        <w:jc w:val="both"/>
        <w:rPr>
          <w:rFonts w:cs="Arial"/>
          <w:szCs w:val="22"/>
        </w:rPr>
      </w:pPr>
      <w:r w:rsidRPr="00A85FEA">
        <w:rPr>
          <w:rFonts w:cs="Arial"/>
          <w:szCs w:val="22"/>
        </w:rPr>
        <w:t xml:space="preserve">los recaudos en efectivo procedentes de transferencias y otras asignaciones realizadas por el Gobierno o por otras entidades del sector público; </w:t>
      </w:r>
    </w:p>
    <w:p w14:paraId="5FBFCE62" w14:textId="77777777" w:rsidR="00F53AB1" w:rsidRPr="00A85FEA" w:rsidRDefault="00F53AB1" w:rsidP="00A85FEA">
      <w:pPr>
        <w:jc w:val="both"/>
        <w:rPr>
          <w:rFonts w:cs="Arial"/>
          <w:szCs w:val="22"/>
        </w:rPr>
      </w:pPr>
      <w:r w:rsidRPr="00A85FEA">
        <w:rPr>
          <w:rFonts w:cs="Arial"/>
          <w:szCs w:val="22"/>
        </w:rPr>
        <w:t xml:space="preserve">los recaudos en efectivo de otros ingresos; </w:t>
      </w:r>
    </w:p>
    <w:p w14:paraId="5C5D6C2D" w14:textId="77777777" w:rsidR="00F53AB1" w:rsidRPr="00A85FEA" w:rsidRDefault="00F53AB1" w:rsidP="00A85FEA">
      <w:pPr>
        <w:jc w:val="both"/>
        <w:rPr>
          <w:rFonts w:cs="Arial"/>
          <w:szCs w:val="22"/>
        </w:rPr>
      </w:pPr>
      <w:r w:rsidRPr="00A85FEA">
        <w:rPr>
          <w:rFonts w:cs="Arial"/>
          <w:szCs w:val="22"/>
        </w:rPr>
        <w:t xml:space="preserve">los pagos en efectivo a otras entidades del sector público para financiar sus operaciones (sin incluir los préstamos); </w:t>
      </w:r>
    </w:p>
    <w:p w14:paraId="070BEDBE" w14:textId="77777777" w:rsidR="00F53AB1" w:rsidRPr="00A85FEA" w:rsidRDefault="00F53AB1" w:rsidP="00A85FEA">
      <w:pPr>
        <w:jc w:val="both"/>
        <w:rPr>
          <w:rFonts w:cs="Arial"/>
          <w:szCs w:val="22"/>
        </w:rPr>
      </w:pPr>
      <w:r w:rsidRPr="00A85FEA">
        <w:rPr>
          <w:rFonts w:cs="Arial"/>
          <w:szCs w:val="22"/>
        </w:rPr>
        <w:t xml:space="preserve">los pagos en efectivo a proveedores por el suministro de bienes y servicios; </w:t>
      </w:r>
    </w:p>
    <w:p w14:paraId="6FAC3B02" w14:textId="77777777" w:rsidR="00F53AB1" w:rsidRPr="00A85FEA" w:rsidRDefault="00F53AB1" w:rsidP="00A85FEA">
      <w:pPr>
        <w:jc w:val="both"/>
        <w:rPr>
          <w:rFonts w:cs="Arial"/>
          <w:szCs w:val="22"/>
        </w:rPr>
      </w:pPr>
      <w:r w:rsidRPr="00A85FEA">
        <w:rPr>
          <w:rFonts w:cs="Arial"/>
          <w:szCs w:val="22"/>
        </w:rPr>
        <w:t xml:space="preserve">los pagos en efectivo a los empleados; </w:t>
      </w:r>
    </w:p>
    <w:p w14:paraId="3D60A347" w14:textId="77777777" w:rsidR="00F53AB1" w:rsidRPr="00A85FEA" w:rsidRDefault="00F53AB1" w:rsidP="00A85FEA">
      <w:pPr>
        <w:jc w:val="both"/>
        <w:rPr>
          <w:rFonts w:cs="Arial"/>
          <w:szCs w:val="22"/>
        </w:rPr>
      </w:pPr>
      <w:r w:rsidRPr="00A85FEA">
        <w:rPr>
          <w:rFonts w:cs="Arial"/>
          <w:szCs w:val="22"/>
        </w:rPr>
        <w:t xml:space="preserve">los pagos en efectivo a las entidades de seguros por primas y prestaciones, anualidades y otras obligaciones derivadas de las pólizas suscritas; </w:t>
      </w:r>
    </w:p>
    <w:p w14:paraId="3F64B5D5" w14:textId="77777777" w:rsidR="00F53AB1" w:rsidRPr="00A85FEA" w:rsidRDefault="00F53AB1" w:rsidP="00A85FEA">
      <w:pPr>
        <w:jc w:val="both"/>
        <w:rPr>
          <w:rFonts w:cs="Arial"/>
          <w:szCs w:val="22"/>
        </w:rPr>
      </w:pPr>
      <w:r w:rsidRPr="00A85FEA">
        <w:rPr>
          <w:rFonts w:cs="Arial"/>
          <w:szCs w:val="22"/>
        </w:rPr>
        <w:t xml:space="preserve">los recaudos y pagos en efectivo derivados de la resolución de litigios. </w:t>
      </w:r>
    </w:p>
    <w:p w14:paraId="15A07A75" w14:textId="77777777" w:rsidR="00F53AB1" w:rsidRPr="00A85FEA" w:rsidRDefault="00F53AB1" w:rsidP="00A85FEA">
      <w:pPr>
        <w:jc w:val="both"/>
        <w:rPr>
          <w:rFonts w:cs="Arial"/>
          <w:szCs w:val="22"/>
        </w:rPr>
      </w:pPr>
    </w:p>
    <w:p w14:paraId="48869852" w14:textId="77777777" w:rsidR="00F53AB1" w:rsidRPr="00A85FEA" w:rsidRDefault="00F53AB1" w:rsidP="00A85FEA">
      <w:pPr>
        <w:jc w:val="both"/>
        <w:rPr>
          <w:rFonts w:cs="Arial"/>
          <w:szCs w:val="22"/>
        </w:rPr>
      </w:pPr>
      <w:r w:rsidRPr="00A85FEA">
        <w:rPr>
          <w:rFonts w:cs="Arial"/>
          <w:szCs w:val="22"/>
        </w:rPr>
        <w:t xml:space="preserve">En los estados financieros individuales, los flujos de efectivo derivados de las actividades de operación se presentarán por el método directo, según el cual se presentan, por separado, las principales categorías de recaudos y pagos en términos brutos. </w:t>
      </w:r>
    </w:p>
    <w:p w14:paraId="6E8E5602" w14:textId="77777777" w:rsidR="00F53AB1" w:rsidRPr="00A85FEA" w:rsidRDefault="00F53AB1" w:rsidP="00A85FEA">
      <w:pPr>
        <w:jc w:val="both"/>
        <w:rPr>
          <w:rFonts w:cs="Arial"/>
          <w:szCs w:val="22"/>
        </w:rPr>
      </w:pPr>
    </w:p>
    <w:p w14:paraId="65866ADC" w14:textId="77777777" w:rsidR="00F53AB1" w:rsidRPr="00A85FEA" w:rsidRDefault="00F53AB1" w:rsidP="00D87929">
      <w:pPr>
        <w:rPr>
          <w:rFonts w:cs="Arial"/>
          <w:szCs w:val="22"/>
        </w:rPr>
      </w:pPr>
      <w:r w:rsidRPr="00A85FEA">
        <w:rPr>
          <w:rFonts w:cs="Arial"/>
          <w:szCs w:val="22"/>
        </w:rPr>
        <w:t xml:space="preserve">1.7.5.1.2 Actividades de inversión </w:t>
      </w:r>
    </w:p>
    <w:p w14:paraId="70BE558E" w14:textId="77777777" w:rsidR="00F53AB1" w:rsidRPr="00A85FEA" w:rsidRDefault="00F53AB1" w:rsidP="00A85FEA">
      <w:pPr>
        <w:jc w:val="both"/>
        <w:rPr>
          <w:rFonts w:cs="Arial"/>
          <w:szCs w:val="22"/>
        </w:rPr>
      </w:pPr>
      <w:r w:rsidRPr="00A85FEA">
        <w:rPr>
          <w:rFonts w:cs="Arial"/>
          <w:szCs w:val="22"/>
        </w:rPr>
        <w:t xml:space="preserve">Son las actividades relacionadas con la adquisición y disposición de activos a largo plazo, así como de otras inversiones no incluidas como equivalentes al efectivo; como las siguientes: </w:t>
      </w:r>
    </w:p>
    <w:p w14:paraId="50E52E68" w14:textId="77777777" w:rsidR="00F53AB1" w:rsidRPr="00A85FEA" w:rsidRDefault="00F53AB1" w:rsidP="00A85FEA">
      <w:pPr>
        <w:jc w:val="both"/>
        <w:rPr>
          <w:rFonts w:cs="Arial"/>
          <w:szCs w:val="22"/>
        </w:rPr>
      </w:pPr>
    </w:p>
    <w:p w14:paraId="03323582" w14:textId="77777777" w:rsidR="00F53AB1" w:rsidRPr="00A85FEA" w:rsidRDefault="00F53AB1" w:rsidP="00A85FEA">
      <w:pPr>
        <w:jc w:val="both"/>
        <w:rPr>
          <w:rFonts w:cs="Arial"/>
          <w:szCs w:val="22"/>
        </w:rPr>
      </w:pPr>
      <w:r w:rsidRPr="00A85FEA">
        <w:rPr>
          <w:rFonts w:cs="Arial"/>
          <w:szCs w:val="22"/>
        </w:rPr>
        <w:t xml:space="preserve">los pagos en efectivo por la adquisición de propiedades, planta y equipo; de bienes históricos y culturales; de activos intangibles y de otros activos a largo plazo, incluidos aquellos relacionados con los costos de desarrollo capitalizados y las propiedades, planta y equipo construidas por la entidad para sí misma; </w:t>
      </w:r>
    </w:p>
    <w:p w14:paraId="383B7B04" w14:textId="77777777" w:rsidR="00F53AB1" w:rsidRPr="00A85FEA" w:rsidRDefault="00F53AB1" w:rsidP="00A85FEA">
      <w:pPr>
        <w:jc w:val="both"/>
        <w:rPr>
          <w:rFonts w:cs="Arial"/>
          <w:szCs w:val="22"/>
        </w:rPr>
      </w:pPr>
      <w:r w:rsidRPr="00A85FEA">
        <w:rPr>
          <w:rFonts w:cs="Arial"/>
          <w:szCs w:val="22"/>
        </w:rPr>
        <w:t xml:space="preserve">los recaudos en efectivo por ventas de propiedades, planta y equipo; de activos intangibles y de otros activos a largo plazo; </w:t>
      </w:r>
    </w:p>
    <w:p w14:paraId="5CEB2A89" w14:textId="77777777" w:rsidR="00F53AB1" w:rsidRPr="00A85FEA" w:rsidRDefault="00F53AB1" w:rsidP="00A85FEA">
      <w:pPr>
        <w:jc w:val="both"/>
        <w:rPr>
          <w:rFonts w:cs="Arial"/>
          <w:szCs w:val="22"/>
        </w:rPr>
      </w:pPr>
      <w:r w:rsidRPr="00A85FEA">
        <w:rPr>
          <w:rFonts w:cs="Arial"/>
          <w:szCs w:val="22"/>
        </w:rPr>
        <w:t>los pagos en efectivo por la adquisición de instrumentos de deuda o de patrimonio, emitidos por otras entidades y</w:t>
      </w:r>
    </w:p>
    <w:p w14:paraId="44CBB1B2" w14:textId="77777777" w:rsidR="00F53AB1" w:rsidRPr="00A85FEA" w:rsidRDefault="00F53AB1" w:rsidP="00A85FEA">
      <w:pPr>
        <w:jc w:val="both"/>
        <w:rPr>
          <w:rFonts w:cs="Arial"/>
          <w:szCs w:val="22"/>
        </w:rPr>
      </w:pPr>
      <w:r w:rsidRPr="00A85FEA">
        <w:rPr>
          <w:rFonts w:cs="Arial"/>
          <w:szCs w:val="22"/>
        </w:rPr>
        <w:lastRenderedPageBreak/>
        <w:t>los recaudos en efectivo por la venta y reembolso de instrumentos de deuda o de patrimonio emitidos por otras entidades</w:t>
      </w:r>
    </w:p>
    <w:p w14:paraId="556CD108" w14:textId="77777777" w:rsidR="00F53AB1" w:rsidRPr="00A85FEA" w:rsidRDefault="00F53AB1" w:rsidP="00D87929">
      <w:pPr>
        <w:rPr>
          <w:rFonts w:cs="Arial"/>
          <w:szCs w:val="22"/>
        </w:rPr>
      </w:pPr>
    </w:p>
    <w:p w14:paraId="4A9BF1CD" w14:textId="77777777" w:rsidR="00F53AB1" w:rsidRPr="00A85FEA" w:rsidRDefault="00F53AB1" w:rsidP="00D87929">
      <w:pPr>
        <w:rPr>
          <w:rFonts w:cs="Arial"/>
          <w:szCs w:val="22"/>
        </w:rPr>
      </w:pPr>
      <w:r w:rsidRPr="00A85FEA">
        <w:rPr>
          <w:rFonts w:cs="Arial"/>
          <w:szCs w:val="22"/>
        </w:rPr>
        <w:t xml:space="preserve">1.7.5.1.3 Actividades de financiación </w:t>
      </w:r>
    </w:p>
    <w:p w14:paraId="5B9833C4" w14:textId="77777777" w:rsidR="00F53AB1" w:rsidRPr="00A85FEA" w:rsidRDefault="00F53AB1" w:rsidP="00D87929">
      <w:pPr>
        <w:rPr>
          <w:rFonts w:cs="Arial"/>
          <w:szCs w:val="22"/>
        </w:rPr>
      </w:pPr>
    </w:p>
    <w:p w14:paraId="7906CE6D" w14:textId="77777777" w:rsidR="00F53AB1" w:rsidRPr="00A85FEA" w:rsidRDefault="00F53AB1" w:rsidP="00A85FEA">
      <w:pPr>
        <w:jc w:val="both"/>
        <w:rPr>
          <w:rFonts w:cs="Arial"/>
          <w:szCs w:val="22"/>
        </w:rPr>
      </w:pPr>
      <w:r w:rsidRPr="00A85FEA">
        <w:rPr>
          <w:rFonts w:cs="Arial"/>
          <w:szCs w:val="22"/>
        </w:rPr>
        <w:t>Son las actividades que producen cambios en el tamaño y composición de los capitales propios y de los préstamos tomados por la Corporación para el Desarrollo Sostenible del Norte y el Oriente Amazónico – CDA.</w:t>
      </w:r>
    </w:p>
    <w:p w14:paraId="152A1ED7" w14:textId="77777777" w:rsidR="00F53AB1" w:rsidRPr="00A85FEA" w:rsidRDefault="00F53AB1" w:rsidP="00A85FEA">
      <w:pPr>
        <w:jc w:val="both"/>
        <w:rPr>
          <w:rFonts w:cs="Arial"/>
          <w:i/>
          <w:szCs w:val="22"/>
        </w:rPr>
      </w:pPr>
    </w:p>
    <w:p w14:paraId="0BEDDFAC" w14:textId="77777777" w:rsidR="00F53AB1" w:rsidRPr="00A85FEA" w:rsidRDefault="00F53AB1" w:rsidP="00A85FEA">
      <w:pPr>
        <w:jc w:val="both"/>
        <w:rPr>
          <w:rFonts w:cs="Arial"/>
          <w:i/>
          <w:szCs w:val="22"/>
        </w:rPr>
      </w:pPr>
      <w:r w:rsidRPr="00A85FEA">
        <w:rPr>
          <w:rFonts w:cs="Arial"/>
          <w:i/>
          <w:szCs w:val="22"/>
        </w:rPr>
        <w:t>La Corporación para el Desarrollo Sostenible del Norte y el Oriente Amazónico – CDA no maneja actividades de financiación.</w:t>
      </w:r>
    </w:p>
    <w:p w14:paraId="3FAA7A7D" w14:textId="77777777" w:rsidR="00F53AB1" w:rsidRPr="00A85FEA" w:rsidRDefault="00F53AB1" w:rsidP="00D87929">
      <w:pPr>
        <w:rPr>
          <w:rFonts w:cs="Arial"/>
          <w:szCs w:val="22"/>
        </w:rPr>
      </w:pPr>
    </w:p>
    <w:p w14:paraId="0A29DF4F" w14:textId="77777777" w:rsidR="00F53AB1" w:rsidRPr="00A85FEA" w:rsidRDefault="00F53AB1" w:rsidP="00D87929">
      <w:pPr>
        <w:rPr>
          <w:rFonts w:cs="Arial"/>
          <w:szCs w:val="22"/>
        </w:rPr>
      </w:pPr>
    </w:p>
    <w:p w14:paraId="0368A1A2" w14:textId="77777777" w:rsidR="00F53AB1" w:rsidRPr="00A85FEA" w:rsidRDefault="00F53AB1" w:rsidP="00D87929">
      <w:pPr>
        <w:rPr>
          <w:rFonts w:cs="Arial"/>
          <w:szCs w:val="22"/>
        </w:rPr>
      </w:pPr>
      <w:r w:rsidRPr="00A85FEA">
        <w:rPr>
          <w:rFonts w:cs="Arial"/>
          <w:szCs w:val="22"/>
        </w:rPr>
        <w:t xml:space="preserve">1.7.5.1.4 Intereses, dividendos y excedentes financieros </w:t>
      </w:r>
    </w:p>
    <w:p w14:paraId="600D85B6" w14:textId="77777777" w:rsidR="00F53AB1" w:rsidRPr="00A85FEA" w:rsidRDefault="00F53AB1" w:rsidP="00D87929">
      <w:pPr>
        <w:rPr>
          <w:rFonts w:cs="Arial"/>
          <w:szCs w:val="22"/>
        </w:rPr>
      </w:pPr>
    </w:p>
    <w:p w14:paraId="01CF8A5C"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clasificará y revelará, de forma separada, los intereses recibidos como flujos de efectivo por actividades de inversión. </w:t>
      </w:r>
    </w:p>
    <w:p w14:paraId="11FBACD6" w14:textId="77777777" w:rsidR="00F53AB1" w:rsidRPr="00A85FEA" w:rsidRDefault="00F53AB1" w:rsidP="00D87929">
      <w:pPr>
        <w:rPr>
          <w:rFonts w:cs="Arial"/>
          <w:szCs w:val="22"/>
        </w:rPr>
      </w:pPr>
    </w:p>
    <w:p w14:paraId="7F22572C" w14:textId="77777777" w:rsidR="00F53AB1" w:rsidRPr="00A85FEA" w:rsidRDefault="00F53AB1" w:rsidP="00D87929">
      <w:pPr>
        <w:rPr>
          <w:rFonts w:cs="Arial"/>
          <w:szCs w:val="22"/>
        </w:rPr>
      </w:pPr>
      <w:r w:rsidRPr="00A85FEA">
        <w:rPr>
          <w:rFonts w:cs="Arial"/>
          <w:szCs w:val="22"/>
        </w:rPr>
        <w:t xml:space="preserve">1.7.5.2 Otra información a revelar </w:t>
      </w:r>
    </w:p>
    <w:p w14:paraId="63772420" w14:textId="77777777" w:rsidR="00F53AB1" w:rsidRPr="00A85FEA" w:rsidRDefault="00F53AB1" w:rsidP="00D87929">
      <w:pPr>
        <w:rPr>
          <w:rFonts w:cs="Arial"/>
          <w:szCs w:val="22"/>
        </w:rPr>
      </w:pPr>
    </w:p>
    <w:p w14:paraId="6CB1C440"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revelará la siguiente información: </w:t>
      </w:r>
    </w:p>
    <w:p w14:paraId="7AC2C947" w14:textId="77777777" w:rsidR="00F53AB1" w:rsidRPr="00A85FEA" w:rsidRDefault="00F53AB1" w:rsidP="00A85FEA">
      <w:pPr>
        <w:jc w:val="both"/>
        <w:rPr>
          <w:rFonts w:cs="Arial"/>
          <w:szCs w:val="22"/>
        </w:rPr>
      </w:pPr>
    </w:p>
    <w:p w14:paraId="1DB096B7" w14:textId="77777777" w:rsidR="00F53AB1" w:rsidRPr="00A85FEA" w:rsidRDefault="00F53AB1" w:rsidP="00A85FEA">
      <w:pPr>
        <w:jc w:val="both"/>
        <w:rPr>
          <w:rFonts w:cs="Arial"/>
          <w:szCs w:val="22"/>
        </w:rPr>
      </w:pPr>
      <w:r w:rsidRPr="00A85FEA">
        <w:rPr>
          <w:rFonts w:cs="Arial"/>
          <w:szCs w:val="22"/>
        </w:rPr>
        <w:t>los componentes del efectivo y equivalentes al efectivo;</w:t>
      </w:r>
    </w:p>
    <w:p w14:paraId="1A92AFF1" w14:textId="77777777" w:rsidR="00F53AB1" w:rsidRPr="00A85FEA" w:rsidRDefault="00F53AB1" w:rsidP="00A85FEA">
      <w:pPr>
        <w:jc w:val="both"/>
        <w:rPr>
          <w:rFonts w:cs="Arial"/>
          <w:szCs w:val="22"/>
        </w:rPr>
      </w:pPr>
      <w:r w:rsidRPr="00A85FEA">
        <w:rPr>
          <w:rFonts w:cs="Arial"/>
          <w:szCs w:val="22"/>
        </w:rPr>
        <w:t xml:space="preserve">cualquier importe significativo de sus saldos de efectivo y equivalentes al efectivo que, por disposiciones legales, no esté disponible para ser utilizado por parte de la entidad (efectivo restringido); </w:t>
      </w:r>
    </w:p>
    <w:p w14:paraId="087472A4" w14:textId="77777777" w:rsidR="00F53AB1" w:rsidRPr="00A85FEA" w:rsidRDefault="00F53AB1" w:rsidP="00A85FEA">
      <w:pPr>
        <w:jc w:val="both"/>
        <w:rPr>
          <w:rFonts w:cs="Arial"/>
          <w:szCs w:val="22"/>
        </w:rPr>
      </w:pPr>
      <w:r w:rsidRPr="00A85FEA">
        <w:rPr>
          <w:rFonts w:cs="Arial"/>
          <w:szCs w:val="22"/>
        </w:rPr>
        <w:t xml:space="preserve">las transacciones de inversión o financiación que no hayan requerido el uso de efectivo o equivalentes al efectivo; y </w:t>
      </w:r>
    </w:p>
    <w:p w14:paraId="765EB8FE" w14:textId="77777777" w:rsidR="00F53AB1" w:rsidRPr="00A85FEA" w:rsidRDefault="00F53AB1" w:rsidP="00A85FEA">
      <w:pPr>
        <w:jc w:val="both"/>
        <w:rPr>
          <w:rFonts w:cs="Arial"/>
          <w:szCs w:val="22"/>
        </w:rPr>
      </w:pPr>
      <w:r w:rsidRPr="00A85FEA">
        <w:rPr>
          <w:rFonts w:cs="Arial"/>
          <w:szCs w:val="22"/>
        </w:rPr>
        <w:t xml:space="preserve">un informe en el cual se desagregue, por un lado, la información correspondiente a cada uno de los componentes del efectivo y equivalentes al efectivo y, por el otro, la información correspondiente a recursos de uso restringido en forma comparativa con el periodo anterior. </w:t>
      </w:r>
    </w:p>
    <w:p w14:paraId="2AEBEA0D" w14:textId="77777777" w:rsidR="00F53AB1" w:rsidRPr="00A85FEA" w:rsidRDefault="00F53AB1" w:rsidP="00D87929">
      <w:pPr>
        <w:rPr>
          <w:rFonts w:cs="Arial"/>
          <w:szCs w:val="22"/>
        </w:rPr>
      </w:pPr>
    </w:p>
    <w:p w14:paraId="377EBF47" w14:textId="77777777" w:rsidR="00F53AB1" w:rsidRPr="00A85FEA" w:rsidRDefault="00F53AB1" w:rsidP="00D87929">
      <w:pPr>
        <w:rPr>
          <w:rFonts w:cs="Arial"/>
          <w:szCs w:val="22"/>
        </w:rPr>
      </w:pPr>
      <w:r w:rsidRPr="00A85FEA">
        <w:rPr>
          <w:rFonts w:cs="Arial"/>
          <w:szCs w:val="22"/>
        </w:rPr>
        <w:t xml:space="preserve">1.7.6. Notas a los estados financieros </w:t>
      </w:r>
    </w:p>
    <w:p w14:paraId="147CD65F" w14:textId="77777777" w:rsidR="00F53AB1" w:rsidRPr="00A85FEA" w:rsidRDefault="00F53AB1" w:rsidP="00A85FEA">
      <w:pPr>
        <w:jc w:val="both"/>
        <w:rPr>
          <w:rFonts w:cs="Arial"/>
          <w:szCs w:val="22"/>
        </w:rPr>
      </w:pPr>
    </w:p>
    <w:p w14:paraId="1438AA3E" w14:textId="77777777" w:rsidR="00F53AB1" w:rsidRPr="00A85FEA" w:rsidRDefault="00F53AB1" w:rsidP="00A85FEA">
      <w:pPr>
        <w:jc w:val="both"/>
        <w:rPr>
          <w:rFonts w:cs="Arial"/>
          <w:szCs w:val="22"/>
        </w:rPr>
      </w:pPr>
      <w:r w:rsidRPr="00A85FEA">
        <w:rPr>
          <w:rFonts w:cs="Arial"/>
          <w:szCs w:val="22"/>
        </w:rPr>
        <w:t>Las notas son descripciones o desagregaciones de partidas de los estados financieros presentadas en forma sistemática.</w:t>
      </w:r>
    </w:p>
    <w:p w14:paraId="5CE7DB0C" w14:textId="77777777" w:rsidR="00F53AB1" w:rsidRPr="00A85FEA" w:rsidRDefault="00F53AB1" w:rsidP="00D87929">
      <w:pPr>
        <w:rPr>
          <w:rFonts w:cs="Arial"/>
          <w:szCs w:val="22"/>
        </w:rPr>
      </w:pPr>
    </w:p>
    <w:p w14:paraId="45CB42FC" w14:textId="77777777" w:rsidR="00F53AB1" w:rsidRPr="00A85FEA" w:rsidRDefault="00F53AB1" w:rsidP="00D87929">
      <w:pPr>
        <w:rPr>
          <w:rFonts w:cs="Arial"/>
          <w:szCs w:val="22"/>
        </w:rPr>
      </w:pPr>
      <w:r w:rsidRPr="00A85FEA">
        <w:rPr>
          <w:rFonts w:cs="Arial"/>
          <w:szCs w:val="22"/>
        </w:rPr>
        <w:t xml:space="preserve">1.7.6.1 Estructura </w:t>
      </w:r>
    </w:p>
    <w:p w14:paraId="21D59F68" w14:textId="77777777" w:rsidR="00F53AB1" w:rsidRPr="00A85FEA" w:rsidRDefault="00F53AB1" w:rsidP="00D87929">
      <w:pPr>
        <w:rPr>
          <w:rFonts w:cs="Arial"/>
          <w:szCs w:val="22"/>
        </w:rPr>
      </w:pPr>
    </w:p>
    <w:p w14:paraId="1B5114CD" w14:textId="77777777" w:rsidR="00F53AB1" w:rsidRPr="00A85FEA" w:rsidRDefault="00F53AB1" w:rsidP="00D87929">
      <w:pPr>
        <w:rPr>
          <w:rFonts w:cs="Arial"/>
          <w:szCs w:val="22"/>
        </w:rPr>
      </w:pPr>
      <w:r w:rsidRPr="00A85FEA">
        <w:rPr>
          <w:rFonts w:cs="Arial"/>
          <w:szCs w:val="22"/>
        </w:rPr>
        <w:t>Las notas a los estados financieros incluirán lo siguiente:</w:t>
      </w:r>
    </w:p>
    <w:p w14:paraId="1097C2E9" w14:textId="77777777" w:rsidR="00F53AB1" w:rsidRPr="00A85FEA" w:rsidRDefault="00F53AB1" w:rsidP="00D87929">
      <w:pPr>
        <w:rPr>
          <w:rFonts w:cs="Arial"/>
          <w:szCs w:val="22"/>
        </w:rPr>
      </w:pPr>
    </w:p>
    <w:p w14:paraId="291D0E3B" w14:textId="77777777" w:rsidR="00F53AB1" w:rsidRPr="00A85FEA" w:rsidRDefault="00F53AB1" w:rsidP="00A85FEA">
      <w:pPr>
        <w:jc w:val="both"/>
        <w:rPr>
          <w:rFonts w:cs="Arial"/>
          <w:szCs w:val="22"/>
        </w:rPr>
      </w:pPr>
      <w:r w:rsidRPr="00A85FEA">
        <w:rPr>
          <w:rFonts w:cs="Arial"/>
          <w:szCs w:val="22"/>
        </w:rPr>
        <w:t xml:space="preserve">información acerca de las bases para la preparación de los estados financieros y de las políticas contables específicas utilizadas; </w:t>
      </w:r>
    </w:p>
    <w:p w14:paraId="5AB7C001" w14:textId="77777777" w:rsidR="00F53AB1" w:rsidRPr="00A85FEA" w:rsidRDefault="00F53AB1" w:rsidP="00A85FEA">
      <w:pPr>
        <w:jc w:val="both"/>
        <w:rPr>
          <w:rFonts w:cs="Arial"/>
          <w:szCs w:val="22"/>
        </w:rPr>
      </w:pPr>
      <w:r w:rsidRPr="00A85FEA">
        <w:rPr>
          <w:rFonts w:cs="Arial"/>
          <w:szCs w:val="22"/>
        </w:rPr>
        <w:t>información requerida por las normas que no se haya incluido en otro lugar de los estados financieros;</w:t>
      </w:r>
    </w:p>
    <w:p w14:paraId="564DC6A5" w14:textId="77777777" w:rsidR="00F53AB1" w:rsidRPr="00A85FEA" w:rsidRDefault="00F53AB1" w:rsidP="00A85FEA">
      <w:pPr>
        <w:jc w:val="both"/>
        <w:rPr>
          <w:rFonts w:cs="Arial"/>
          <w:szCs w:val="22"/>
        </w:rPr>
      </w:pPr>
      <w:r w:rsidRPr="00A85FEA">
        <w:rPr>
          <w:rFonts w:cs="Arial"/>
          <w:szCs w:val="22"/>
        </w:rPr>
        <w:t>información comparativa respecto del periodo anterior para todos los importes incluidos en los estados financieros, cuando sea relevante para entender los estados financieros del periodo corriente; y</w:t>
      </w:r>
    </w:p>
    <w:p w14:paraId="00CA9172" w14:textId="77777777" w:rsidR="00F53AB1" w:rsidRPr="00A85FEA" w:rsidRDefault="00F53AB1" w:rsidP="00A85FEA">
      <w:pPr>
        <w:jc w:val="both"/>
        <w:rPr>
          <w:rFonts w:cs="Arial"/>
          <w:szCs w:val="22"/>
        </w:rPr>
      </w:pPr>
      <w:r w:rsidRPr="00A85FEA">
        <w:rPr>
          <w:rFonts w:cs="Arial"/>
          <w:szCs w:val="22"/>
        </w:rPr>
        <w:t xml:space="preserve">información adicional que sea relevante para entender los estados financieros y que no se haya presentado en estos. </w:t>
      </w:r>
    </w:p>
    <w:p w14:paraId="763A6C4C" w14:textId="77777777" w:rsidR="00F53AB1" w:rsidRPr="00A85FEA" w:rsidRDefault="00F53AB1" w:rsidP="00A85FEA">
      <w:pPr>
        <w:jc w:val="both"/>
        <w:rPr>
          <w:rFonts w:cs="Arial"/>
          <w:szCs w:val="22"/>
        </w:rPr>
      </w:pPr>
    </w:p>
    <w:p w14:paraId="3A598E0E"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presentará las notas de forma sistemática; para tal efecto, referenciará cada partida incluida en los estados financieros con cualquier información relacionada en las notas. </w:t>
      </w:r>
    </w:p>
    <w:p w14:paraId="18AB8A6D" w14:textId="77777777" w:rsidR="00F53AB1" w:rsidRPr="00A85FEA" w:rsidRDefault="00F53AB1" w:rsidP="00D87929">
      <w:pPr>
        <w:rPr>
          <w:rFonts w:cs="Arial"/>
          <w:szCs w:val="22"/>
        </w:rPr>
      </w:pPr>
    </w:p>
    <w:p w14:paraId="07EA3B30" w14:textId="77777777" w:rsidR="00F53AB1" w:rsidRPr="00A85FEA" w:rsidRDefault="00F53AB1" w:rsidP="00D87929">
      <w:pPr>
        <w:rPr>
          <w:rFonts w:cs="Arial"/>
          <w:szCs w:val="22"/>
        </w:rPr>
      </w:pPr>
      <w:r w:rsidRPr="00A85FEA">
        <w:rPr>
          <w:rFonts w:cs="Arial"/>
          <w:szCs w:val="22"/>
        </w:rPr>
        <w:t xml:space="preserve">1.7.6.2 Revelaciones </w:t>
      </w:r>
    </w:p>
    <w:p w14:paraId="3FED4DC5" w14:textId="77777777" w:rsidR="00F53AB1" w:rsidRPr="00A85FEA" w:rsidRDefault="00F53AB1" w:rsidP="00D87929">
      <w:pPr>
        <w:rPr>
          <w:rFonts w:cs="Arial"/>
          <w:szCs w:val="22"/>
        </w:rPr>
      </w:pPr>
    </w:p>
    <w:p w14:paraId="0DCD544A" w14:textId="77777777" w:rsidR="00F53AB1" w:rsidRPr="00A85FEA" w:rsidRDefault="00F53AB1" w:rsidP="00D87929">
      <w:pPr>
        <w:rPr>
          <w:rFonts w:cs="Arial"/>
          <w:szCs w:val="22"/>
        </w:rPr>
      </w:pPr>
      <w:r w:rsidRPr="00A85FEA">
        <w:rPr>
          <w:rFonts w:cs="Arial"/>
          <w:szCs w:val="22"/>
        </w:rPr>
        <w:t xml:space="preserve">La Corporación para el Desarrollo Sostenible del Norte y el Oriente Amazónico – CDA revelará la siguiente información: </w:t>
      </w:r>
    </w:p>
    <w:p w14:paraId="19274692" w14:textId="77777777" w:rsidR="00F53AB1" w:rsidRPr="00A85FEA" w:rsidRDefault="00F53AB1" w:rsidP="00D87929">
      <w:pPr>
        <w:rPr>
          <w:rFonts w:cs="Arial"/>
          <w:szCs w:val="22"/>
        </w:rPr>
      </w:pPr>
    </w:p>
    <w:p w14:paraId="12CAFE8C" w14:textId="77777777" w:rsidR="00F53AB1" w:rsidRPr="00A85FEA" w:rsidRDefault="00F53AB1" w:rsidP="00A85FEA">
      <w:pPr>
        <w:jc w:val="both"/>
        <w:rPr>
          <w:rFonts w:cs="Arial"/>
          <w:szCs w:val="22"/>
        </w:rPr>
      </w:pPr>
      <w:r w:rsidRPr="00A85FEA">
        <w:rPr>
          <w:rFonts w:cs="Arial"/>
          <w:szCs w:val="22"/>
        </w:rPr>
        <w:t>La información relativa a su naturaleza jurídica y funciones de cometido estatal. Para tal efecto, indicará su denominación; su naturaleza y régimen jurídico, identificando los órganos superiores de dirección y administración, y la entidad a la cual está adscrita o vinculada, cuando sea el caso; su domicilio y la dirección del lugar donde desarrolla sus actividades; una descripción de la naturaleza de sus operaciones y de las actividades que desarrolla con el fin de cumplir con las funciones de cometido estatal asignadas; y los cambios ordenados que comprometen su continuidad como supresión, fusión, escisión o liquidación.</w:t>
      </w:r>
    </w:p>
    <w:p w14:paraId="1093FA7C" w14:textId="77777777" w:rsidR="00F53AB1" w:rsidRPr="00A85FEA" w:rsidRDefault="00F53AB1" w:rsidP="00A85FEA">
      <w:pPr>
        <w:jc w:val="both"/>
        <w:rPr>
          <w:rFonts w:cs="Arial"/>
          <w:szCs w:val="22"/>
        </w:rPr>
      </w:pPr>
      <w:r w:rsidRPr="00A85FEA">
        <w:rPr>
          <w:rFonts w:cs="Arial"/>
          <w:szCs w:val="22"/>
        </w:rPr>
        <w:t xml:space="preserve">La declaración explícita y sin reservas del cumplimiento del Marco Normativo para Entidades de Gobierno, el cual hace parte integral del Régimen de Contabilidad Pública. </w:t>
      </w:r>
    </w:p>
    <w:p w14:paraId="17FD0E50" w14:textId="77777777" w:rsidR="00F53AB1" w:rsidRPr="00A85FEA" w:rsidRDefault="00F53AB1" w:rsidP="00A85FEA">
      <w:pPr>
        <w:jc w:val="both"/>
        <w:rPr>
          <w:rFonts w:cs="Arial"/>
          <w:szCs w:val="22"/>
        </w:rPr>
      </w:pPr>
      <w:r w:rsidRPr="00A85FEA">
        <w:rPr>
          <w:rFonts w:cs="Arial"/>
          <w:szCs w:val="22"/>
        </w:rPr>
        <w:t>Las bases de medición utilizadas para la elaboración de los estados financieros y las otras políticas contables utilizadas que sean relevantes para la comprensión de los estados financieros, en el resumen de políticas contables significativas.</w:t>
      </w:r>
    </w:p>
    <w:p w14:paraId="621ACD6E" w14:textId="77777777" w:rsidR="00F53AB1" w:rsidRPr="00A85FEA" w:rsidRDefault="00F53AB1" w:rsidP="00A85FEA">
      <w:pPr>
        <w:jc w:val="both"/>
        <w:rPr>
          <w:rFonts w:cs="Arial"/>
          <w:szCs w:val="22"/>
        </w:rPr>
      </w:pPr>
      <w:r w:rsidRPr="00A85FEA">
        <w:rPr>
          <w:rFonts w:cs="Arial"/>
          <w:szCs w:val="22"/>
        </w:rPr>
        <w:t xml:space="preserve">Los juicios, diferentes de aquellos que involucren estimaciones, que la administración haya realizado en el proceso de aplicación de las políticas contables de la entidad y que tengan un efecto significativo sobre los importes reconocidos en los estados financieros, en el resumen de las políticas contables significativas o en otras notas. </w:t>
      </w:r>
    </w:p>
    <w:p w14:paraId="3947E1E8" w14:textId="77777777" w:rsidR="00F53AB1" w:rsidRPr="00A85FEA" w:rsidRDefault="00F53AB1" w:rsidP="00A85FEA">
      <w:pPr>
        <w:jc w:val="both"/>
        <w:rPr>
          <w:rFonts w:cs="Arial"/>
          <w:szCs w:val="22"/>
        </w:rPr>
      </w:pPr>
      <w:r w:rsidRPr="00A85FEA">
        <w:rPr>
          <w:rFonts w:cs="Arial"/>
          <w:szCs w:val="22"/>
        </w:rPr>
        <w:t xml:space="preserve">Los supuestos realizados acerca del futuro y otras causas de incertidumbre en las estimaciones realizadas al final del periodo contable, que tengan un riesgo significativo de ocasionar ajustes importantes en el valor en libros de los activos o pasivos dentro del periodo contable siguiente. Con respecto a esos activos y pasivos, las notas incluirán detalles de su naturaleza y su valor en libros al final del periodo contable. </w:t>
      </w:r>
    </w:p>
    <w:p w14:paraId="15B25F2B" w14:textId="77777777" w:rsidR="00F53AB1" w:rsidRPr="00A85FEA" w:rsidRDefault="00F53AB1" w:rsidP="00A85FEA">
      <w:pPr>
        <w:jc w:val="both"/>
        <w:rPr>
          <w:rFonts w:cs="Arial"/>
          <w:szCs w:val="22"/>
        </w:rPr>
      </w:pPr>
      <w:r w:rsidRPr="00A85FEA">
        <w:rPr>
          <w:rFonts w:cs="Arial"/>
          <w:szCs w:val="22"/>
        </w:rPr>
        <w:lastRenderedPageBreak/>
        <w:t xml:space="preserve">Las limitaciones y deficiencias generales de tipo operativo o administrativo que tienen impacto en el desarrollo normal del proceso contable o en la consistencia y razonabilidad de las cifras. </w:t>
      </w:r>
    </w:p>
    <w:p w14:paraId="76F9BEF2" w14:textId="77777777" w:rsidR="00F53AB1" w:rsidRPr="00A85FEA" w:rsidRDefault="00F53AB1" w:rsidP="00A85FEA">
      <w:pPr>
        <w:jc w:val="both"/>
        <w:rPr>
          <w:rFonts w:cs="Arial"/>
          <w:szCs w:val="22"/>
        </w:rPr>
      </w:pPr>
      <w:r w:rsidRPr="00A85FEA">
        <w:rPr>
          <w:rFonts w:cs="Arial"/>
          <w:szCs w:val="22"/>
        </w:rPr>
        <w:t>La información que permita a los usuarios de sus estados financieros evaluar los objetivos, las políticas y los procesos que aplica para gestionar el capital.</w:t>
      </w:r>
    </w:p>
    <w:p w14:paraId="661F514F" w14:textId="77777777" w:rsidR="00F53AB1" w:rsidRPr="00A85FEA" w:rsidRDefault="00F53AB1" w:rsidP="00D87929">
      <w:pPr>
        <w:rPr>
          <w:rFonts w:cs="Arial"/>
          <w:szCs w:val="22"/>
        </w:rPr>
      </w:pPr>
    </w:p>
    <w:p w14:paraId="5A7F263B" w14:textId="77777777" w:rsidR="00F53AB1" w:rsidRPr="00A85FEA" w:rsidRDefault="00F53AB1" w:rsidP="00A85FEA">
      <w:pPr>
        <w:pStyle w:val="Ttulo1"/>
        <w:jc w:val="center"/>
        <w:rPr>
          <w:rFonts w:ascii="Arial" w:hAnsi="Arial" w:cs="Arial"/>
          <w:color w:val="auto"/>
          <w:sz w:val="22"/>
          <w:szCs w:val="22"/>
        </w:rPr>
      </w:pPr>
      <w:bookmarkStart w:id="214" w:name="_Toc525721510"/>
      <w:r w:rsidRPr="00A85FEA">
        <w:rPr>
          <w:rFonts w:ascii="Arial" w:hAnsi="Arial" w:cs="Arial"/>
          <w:color w:val="auto"/>
          <w:sz w:val="22"/>
          <w:szCs w:val="22"/>
        </w:rPr>
        <w:t>2. POLÍTICAS CONTABLES, CAMBIOS EN LAS ESTIMACIONES CONTABLES Y CORRECCIÓN DE ERRORES</w:t>
      </w:r>
      <w:bookmarkEnd w:id="214"/>
    </w:p>
    <w:p w14:paraId="5AEA79CD" w14:textId="77777777" w:rsidR="00F53AB1" w:rsidRPr="00A85FEA" w:rsidRDefault="00F53AB1" w:rsidP="00D87929">
      <w:pPr>
        <w:rPr>
          <w:rFonts w:cs="Arial"/>
          <w:szCs w:val="22"/>
        </w:rPr>
      </w:pPr>
    </w:p>
    <w:p w14:paraId="704F9B8A" w14:textId="77777777" w:rsidR="00F53AB1" w:rsidRPr="00A85FEA" w:rsidRDefault="00F53AB1" w:rsidP="00A85FEA">
      <w:pPr>
        <w:pStyle w:val="Ttulo1"/>
        <w:rPr>
          <w:rFonts w:ascii="Arial" w:hAnsi="Arial" w:cs="Arial"/>
          <w:color w:val="auto"/>
          <w:sz w:val="22"/>
          <w:szCs w:val="22"/>
        </w:rPr>
      </w:pPr>
      <w:bookmarkStart w:id="215" w:name="_Toc525721511"/>
      <w:r w:rsidRPr="00A85FEA">
        <w:rPr>
          <w:rFonts w:ascii="Arial" w:hAnsi="Arial" w:cs="Arial"/>
          <w:color w:val="auto"/>
          <w:sz w:val="22"/>
          <w:szCs w:val="22"/>
        </w:rPr>
        <w:t>2.1. Políticas contables</w:t>
      </w:r>
      <w:bookmarkEnd w:id="215"/>
      <w:r w:rsidRPr="00A85FEA">
        <w:rPr>
          <w:rFonts w:ascii="Arial" w:hAnsi="Arial" w:cs="Arial"/>
          <w:color w:val="auto"/>
          <w:sz w:val="22"/>
          <w:szCs w:val="22"/>
        </w:rPr>
        <w:t xml:space="preserve"> </w:t>
      </w:r>
    </w:p>
    <w:p w14:paraId="390EF6D1" w14:textId="77777777" w:rsidR="00F53AB1" w:rsidRPr="00A85FEA" w:rsidRDefault="00F53AB1" w:rsidP="00D87929">
      <w:pPr>
        <w:rPr>
          <w:rFonts w:cs="Arial"/>
          <w:szCs w:val="22"/>
        </w:rPr>
      </w:pPr>
    </w:p>
    <w:p w14:paraId="0E1F892B" w14:textId="77777777" w:rsidR="00F53AB1" w:rsidRPr="00A85FEA" w:rsidRDefault="00F53AB1" w:rsidP="00A85FEA">
      <w:pPr>
        <w:jc w:val="both"/>
        <w:rPr>
          <w:rFonts w:cs="Arial"/>
          <w:szCs w:val="22"/>
        </w:rPr>
      </w:pPr>
      <w:r w:rsidRPr="00A85FEA">
        <w:rPr>
          <w:rFonts w:cs="Arial"/>
          <w:szCs w:val="22"/>
        </w:rPr>
        <w:t>Las políticas contables son los principios, bases, acuerdos, reglas y procedimientos adoptados por la Corporación para el Desarrollo Sostenible del Norte y el Oriente Amazónico – CDA para la elaboración y presentación de los estados financieros.</w:t>
      </w:r>
    </w:p>
    <w:p w14:paraId="6ADDF6E8" w14:textId="77777777" w:rsidR="00F53AB1" w:rsidRPr="00A85FEA" w:rsidRDefault="00F53AB1" w:rsidP="00A85FEA">
      <w:pPr>
        <w:jc w:val="both"/>
        <w:rPr>
          <w:rFonts w:cs="Arial"/>
          <w:szCs w:val="22"/>
        </w:rPr>
      </w:pPr>
    </w:p>
    <w:p w14:paraId="60561CA3" w14:textId="77777777" w:rsidR="00F53AB1" w:rsidRPr="00A85FEA" w:rsidRDefault="00F53AB1" w:rsidP="00A85FEA">
      <w:pPr>
        <w:jc w:val="both"/>
        <w:rPr>
          <w:rFonts w:cs="Arial"/>
          <w:szCs w:val="22"/>
        </w:rPr>
      </w:pPr>
      <w:r w:rsidRPr="00A85FEA">
        <w:rPr>
          <w:rFonts w:cs="Arial"/>
          <w:szCs w:val="22"/>
        </w:rPr>
        <w:t xml:space="preserve">Las políticas contables establecidas por la Contaduría General de la Nación y contenidas en el Marco Normativo para Entidades de Gobierno dan lugar a estados financieros que contienen información relevante y fiable sobre los hechos económicos. </w:t>
      </w:r>
    </w:p>
    <w:p w14:paraId="62958AE1" w14:textId="77777777" w:rsidR="00F53AB1" w:rsidRPr="00A85FEA" w:rsidRDefault="00F53AB1" w:rsidP="00A85FEA">
      <w:pPr>
        <w:jc w:val="both"/>
        <w:rPr>
          <w:rFonts w:cs="Arial"/>
          <w:szCs w:val="22"/>
        </w:rPr>
      </w:pPr>
    </w:p>
    <w:p w14:paraId="1DFDC8A2" w14:textId="77777777" w:rsidR="00F53AB1" w:rsidRPr="00A85FEA" w:rsidRDefault="00F53AB1" w:rsidP="00A85FEA">
      <w:pPr>
        <w:jc w:val="both"/>
        <w:rPr>
          <w:rFonts w:cs="Arial"/>
          <w:szCs w:val="22"/>
        </w:rPr>
      </w:pPr>
      <w:r w:rsidRPr="00A85FEA">
        <w:rPr>
          <w:rFonts w:cs="Arial"/>
          <w:szCs w:val="22"/>
        </w:rPr>
        <w:t xml:space="preserve">Las políticas contables serán aplicadas por la entidad de manera uniforme para transacciones, hechos y operaciones que sean similares. No obstante, en algunos casos específicos, se permitirá que la entidad, considerando lo definido en dicho Marco y a partir de juicios profesionales, seleccione y aplique una política contable para el reconocimiento de un hecho económico. En este caso, la entidad seleccionará y documentará la política atendiendo las características de representación fiel y relevancia de la información financiera. </w:t>
      </w:r>
    </w:p>
    <w:p w14:paraId="2C06C219" w14:textId="77777777" w:rsidR="00F53AB1" w:rsidRPr="00A85FEA" w:rsidRDefault="00F53AB1" w:rsidP="00A85FEA">
      <w:pPr>
        <w:jc w:val="both"/>
        <w:rPr>
          <w:rFonts w:cs="Arial"/>
          <w:szCs w:val="22"/>
        </w:rPr>
      </w:pPr>
    </w:p>
    <w:p w14:paraId="1A510B5B" w14:textId="77777777" w:rsidR="00F53AB1" w:rsidRPr="00A85FEA" w:rsidRDefault="00F53AB1" w:rsidP="00A85FEA">
      <w:pPr>
        <w:jc w:val="both"/>
        <w:rPr>
          <w:rFonts w:cs="Arial"/>
          <w:szCs w:val="22"/>
        </w:rPr>
      </w:pPr>
      <w:r w:rsidRPr="00A85FEA">
        <w:rPr>
          <w:rFonts w:cs="Arial"/>
          <w:szCs w:val="22"/>
        </w:rPr>
        <w:t>Ante hechos económicos que no se encuentren regulados en el Marco Normativo para Entidades de Gobierno (Marco Conceptual; Normas para el Reconocimiento, Medición, Revelación y Presentación de los Hechos Económicos; Procedimientos Contables; Guías de Aplicación; Catálogo General de Cuentas y Doctrina Contable Pública), la Corporación para el Desarrollo Sostenible del Norte y el Oriente Amazónico – CDA solicitará a la Contaduría General de la Nación, el estudio y la regulación del tema, para lo cual allegará la información suficiente y pertinente.</w:t>
      </w:r>
    </w:p>
    <w:p w14:paraId="322D6678" w14:textId="77777777" w:rsidR="00F53AB1" w:rsidRPr="00A85FEA" w:rsidRDefault="00F53AB1" w:rsidP="00A85FEA">
      <w:pPr>
        <w:jc w:val="both"/>
        <w:rPr>
          <w:rFonts w:cs="Arial"/>
          <w:szCs w:val="22"/>
        </w:rPr>
      </w:pPr>
    </w:p>
    <w:p w14:paraId="12C0DD38" w14:textId="77777777" w:rsidR="00F53AB1" w:rsidRPr="00A85FEA" w:rsidRDefault="00F53AB1" w:rsidP="00A85FEA">
      <w:pPr>
        <w:jc w:val="both"/>
        <w:rPr>
          <w:rFonts w:cs="Arial"/>
          <w:i/>
          <w:szCs w:val="22"/>
        </w:rPr>
      </w:pPr>
      <w:r w:rsidRPr="00A85FEA">
        <w:rPr>
          <w:rFonts w:cs="Arial"/>
          <w:i/>
          <w:szCs w:val="22"/>
        </w:rPr>
        <w:t xml:space="preserve">La Corporación para el Desarrollo Sostenible del Norte y el Oriente Amazónico – CDA cambiará una política contable únicamente cuando se realice una modificación al Marco Normativo para Entidades de Gobierno, de lo contrario, la Corporación para el Desarrollo </w:t>
      </w:r>
      <w:r w:rsidRPr="00A85FEA">
        <w:rPr>
          <w:rFonts w:cs="Arial"/>
          <w:i/>
          <w:szCs w:val="22"/>
        </w:rPr>
        <w:lastRenderedPageBreak/>
        <w:t xml:space="preserve">Sostenible del Norte y el Oriente Amazónico – CDA no realizará cambios en políticas contables. </w:t>
      </w:r>
    </w:p>
    <w:p w14:paraId="0BF355BC" w14:textId="77777777" w:rsidR="00F53AB1" w:rsidRPr="00A85FEA" w:rsidRDefault="00F53AB1" w:rsidP="00A85FEA">
      <w:pPr>
        <w:jc w:val="both"/>
        <w:rPr>
          <w:rFonts w:cs="Arial"/>
          <w:i/>
          <w:szCs w:val="22"/>
        </w:rPr>
      </w:pPr>
    </w:p>
    <w:p w14:paraId="112CBD1B" w14:textId="77777777" w:rsidR="00F53AB1" w:rsidRPr="00A85FEA" w:rsidRDefault="00F53AB1" w:rsidP="00A85FEA">
      <w:pPr>
        <w:jc w:val="both"/>
        <w:rPr>
          <w:rFonts w:cs="Arial"/>
          <w:szCs w:val="22"/>
        </w:rPr>
      </w:pPr>
      <w:r w:rsidRPr="00A85FEA">
        <w:rPr>
          <w:rFonts w:cs="Arial"/>
          <w:i/>
          <w:szCs w:val="22"/>
        </w:rPr>
        <w:t>Los cambios en las</w:t>
      </w:r>
      <w:r w:rsidRPr="00A85FEA">
        <w:rPr>
          <w:rFonts w:cs="Arial"/>
          <w:szCs w:val="22"/>
        </w:rPr>
        <w:t xml:space="preserve"> políticas contables originados en cambios en el Marco Normativo para Entidades de Gobierno se aplicarán observando lo dispuesto en la norma que los adopte. </w:t>
      </w:r>
    </w:p>
    <w:p w14:paraId="7C5F63EF" w14:textId="77777777" w:rsidR="00F53AB1" w:rsidRPr="00A85FEA" w:rsidRDefault="00F53AB1" w:rsidP="00A85FEA">
      <w:pPr>
        <w:pStyle w:val="Ttulo1"/>
        <w:rPr>
          <w:rFonts w:ascii="Arial" w:hAnsi="Arial" w:cs="Arial"/>
          <w:color w:val="auto"/>
          <w:sz w:val="22"/>
          <w:szCs w:val="22"/>
        </w:rPr>
      </w:pPr>
      <w:bookmarkStart w:id="216" w:name="_Toc525721512"/>
      <w:r w:rsidRPr="00A85FEA">
        <w:rPr>
          <w:rFonts w:ascii="Arial" w:hAnsi="Arial" w:cs="Arial"/>
          <w:color w:val="auto"/>
          <w:sz w:val="22"/>
          <w:szCs w:val="22"/>
        </w:rPr>
        <w:t>2.2. Cambios en una estimación contable</w:t>
      </w:r>
      <w:bookmarkEnd w:id="216"/>
      <w:r w:rsidRPr="00A85FEA">
        <w:rPr>
          <w:rFonts w:ascii="Arial" w:hAnsi="Arial" w:cs="Arial"/>
          <w:color w:val="auto"/>
          <w:sz w:val="22"/>
          <w:szCs w:val="22"/>
        </w:rPr>
        <w:t xml:space="preserve"> </w:t>
      </w:r>
    </w:p>
    <w:p w14:paraId="7289D1B1" w14:textId="77777777" w:rsidR="00F53AB1" w:rsidRPr="00A85FEA" w:rsidRDefault="00F53AB1" w:rsidP="00D87929">
      <w:pPr>
        <w:rPr>
          <w:rFonts w:cs="Arial"/>
          <w:szCs w:val="22"/>
        </w:rPr>
      </w:pPr>
    </w:p>
    <w:p w14:paraId="2C3E5589" w14:textId="77777777" w:rsidR="00F53AB1" w:rsidRPr="00A85FEA" w:rsidRDefault="00F53AB1" w:rsidP="00A85FEA">
      <w:pPr>
        <w:jc w:val="both"/>
        <w:rPr>
          <w:rFonts w:cs="Arial"/>
          <w:szCs w:val="22"/>
        </w:rPr>
      </w:pPr>
      <w:r w:rsidRPr="00A85FEA">
        <w:rPr>
          <w:rFonts w:cs="Arial"/>
          <w:szCs w:val="22"/>
        </w:rPr>
        <w:t xml:space="preserve">Una estimación contable es un mecanismo utilizado por la Corporación para el Desarrollo Sostenible del Norte y el Oriente Amazónico – CDA para medir un hecho económico que, dada la incertidumbre inherente al mismo, no puede medirse con precisión, sino que solamente puede estimarse. Ello implica la utilización de juicios basados en la información fiable disponible y en técnicas o metodologías apropiadas. Son estimaciones contables, entre otras, el deterioro del valor de los activos, el valor de mercado de los activos financieros, el valor residual y la vida útil de los activos depreciables, las obligaciones por beneficios posempleo y las obligaciones por garantías concedidas. </w:t>
      </w:r>
    </w:p>
    <w:p w14:paraId="6E642156" w14:textId="77777777" w:rsidR="00F53AB1" w:rsidRPr="00A85FEA" w:rsidRDefault="00F53AB1" w:rsidP="00A85FEA">
      <w:pPr>
        <w:jc w:val="both"/>
        <w:rPr>
          <w:rFonts w:cs="Arial"/>
          <w:szCs w:val="22"/>
        </w:rPr>
      </w:pPr>
    </w:p>
    <w:p w14:paraId="125FE5C4" w14:textId="77777777" w:rsidR="00F53AB1" w:rsidRPr="00A85FEA" w:rsidRDefault="00F53AB1" w:rsidP="00A85FEA">
      <w:pPr>
        <w:jc w:val="both"/>
        <w:rPr>
          <w:rFonts w:cs="Arial"/>
          <w:szCs w:val="22"/>
        </w:rPr>
      </w:pPr>
      <w:r w:rsidRPr="00A85FEA">
        <w:rPr>
          <w:rFonts w:cs="Arial"/>
          <w:szCs w:val="22"/>
        </w:rPr>
        <w:t xml:space="preserve">El uso de estimaciones razonables constituye una parte fundamental del proceso contable y no menoscaba la confiabilidad de la información financiera. No obstante, si como consecuencia de obtener nueva información o de poseer más experiencia, se producen cambios en las circunstancias en que se basa la estimación, esta se revisará y, de ser necesario, se ajustará. Lo anterior, no implica que esta se encuentre relacionada con periodos anteriores ni tampoco que constituya la corrección de un error, por lo cual su aplicación es prospectiva. </w:t>
      </w:r>
    </w:p>
    <w:p w14:paraId="03FE5E0F" w14:textId="77777777" w:rsidR="00F53AB1" w:rsidRPr="00A85FEA" w:rsidRDefault="00F53AB1" w:rsidP="00A85FEA">
      <w:pPr>
        <w:jc w:val="both"/>
        <w:rPr>
          <w:rFonts w:cs="Arial"/>
          <w:szCs w:val="22"/>
        </w:rPr>
      </w:pPr>
    </w:p>
    <w:p w14:paraId="506B0E5C" w14:textId="77777777" w:rsidR="00F53AB1" w:rsidRPr="00A85FEA" w:rsidRDefault="00F53AB1" w:rsidP="00A85FEA">
      <w:pPr>
        <w:jc w:val="both"/>
        <w:rPr>
          <w:rFonts w:cs="Arial"/>
          <w:szCs w:val="22"/>
        </w:rPr>
      </w:pPr>
      <w:r w:rsidRPr="00A85FEA">
        <w:rPr>
          <w:rFonts w:cs="Arial"/>
          <w:szCs w:val="22"/>
        </w:rPr>
        <w:t>Un cambio en una estimación contable es el resultado de nueva información o nuevos acontecimientos que afectan, bien el valor en libros de un activo o de un pasivo, o bien el consumo periódico de un activo. Estos cambios se producen tras la evaluación de la situación actual del elemento, de los beneficios económicos futuros o del potencial de servicio esperados y de las obligaciones asociadas con los activos y pasivos correspondientes.</w:t>
      </w:r>
    </w:p>
    <w:p w14:paraId="3612C001" w14:textId="77777777" w:rsidR="00F53AB1" w:rsidRPr="00A85FEA" w:rsidRDefault="00F53AB1" w:rsidP="00A85FEA">
      <w:pPr>
        <w:jc w:val="both"/>
        <w:rPr>
          <w:rFonts w:cs="Arial"/>
          <w:szCs w:val="22"/>
        </w:rPr>
      </w:pPr>
    </w:p>
    <w:p w14:paraId="085CC560" w14:textId="77777777" w:rsidR="00F53AB1" w:rsidRPr="00A85FEA" w:rsidRDefault="00F53AB1" w:rsidP="00A85FEA">
      <w:pPr>
        <w:jc w:val="both"/>
        <w:rPr>
          <w:rFonts w:cs="Arial"/>
          <w:szCs w:val="22"/>
        </w:rPr>
      </w:pPr>
      <w:r w:rsidRPr="00A85FEA">
        <w:rPr>
          <w:rFonts w:cs="Arial"/>
          <w:szCs w:val="22"/>
        </w:rPr>
        <w:t xml:space="preserve">Un cambio en los criterios de medición aplicados implicará un cambio en una política contable y no un cambio en una estimación contable. Cuando sea difícil distinguir entre un cambio de política contable y un cambio en una estimación contable, se tratará como si fuera un cambio en una estimación contable. </w:t>
      </w:r>
    </w:p>
    <w:p w14:paraId="6A0CB3A3" w14:textId="77777777" w:rsidR="00F53AB1" w:rsidRPr="00A85FEA" w:rsidRDefault="00F53AB1" w:rsidP="00A85FEA">
      <w:pPr>
        <w:jc w:val="both"/>
        <w:rPr>
          <w:rFonts w:cs="Arial"/>
          <w:szCs w:val="22"/>
        </w:rPr>
      </w:pPr>
    </w:p>
    <w:p w14:paraId="04546429" w14:textId="77777777" w:rsidR="00F53AB1" w:rsidRPr="00A85FEA" w:rsidRDefault="00F53AB1" w:rsidP="00A85FEA">
      <w:pPr>
        <w:jc w:val="both"/>
        <w:rPr>
          <w:rFonts w:cs="Arial"/>
          <w:szCs w:val="22"/>
        </w:rPr>
      </w:pPr>
      <w:r w:rsidRPr="00A85FEA">
        <w:rPr>
          <w:rFonts w:cs="Arial"/>
          <w:szCs w:val="22"/>
        </w:rPr>
        <w:t xml:space="preserve">Los efectos que se deriven de un cambio en una estimación contable se aplicarán de manera prospectiva afectando, bien el resultado del periodo en el que tenga lugar el cambio si afecta solamente este periodo, o bien el resultado del periodo del cambio y de los periodos futuros que afecte. No obstante, si el cambio en una estimación contable origina cambios en activos o pasivos o se relaciona con una partida del patrimonio, este </w:t>
      </w:r>
      <w:r w:rsidRPr="00A85FEA">
        <w:rPr>
          <w:rFonts w:cs="Arial"/>
          <w:szCs w:val="22"/>
        </w:rPr>
        <w:lastRenderedPageBreak/>
        <w:t xml:space="preserve">se reconocerá a través de un ajuste en el valor en libros del activo, pasivo o patrimonio en el periodo en el que se presente el cambio. </w:t>
      </w:r>
    </w:p>
    <w:p w14:paraId="34933A9C" w14:textId="77777777" w:rsidR="00F53AB1" w:rsidRPr="00A85FEA" w:rsidRDefault="00F53AB1" w:rsidP="00A85FEA">
      <w:pPr>
        <w:jc w:val="both"/>
        <w:rPr>
          <w:rFonts w:cs="Arial"/>
          <w:szCs w:val="22"/>
        </w:rPr>
      </w:pPr>
    </w:p>
    <w:p w14:paraId="0F3C319D" w14:textId="77777777" w:rsidR="00F53AB1" w:rsidRPr="00A85FEA" w:rsidRDefault="00F53AB1" w:rsidP="00A85FEA">
      <w:pPr>
        <w:jc w:val="both"/>
        <w:rPr>
          <w:rFonts w:cs="Arial"/>
          <w:szCs w:val="22"/>
        </w:rPr>
      </w:pPr>
      <w:r w:rsidRPr="00A85FEA">
        <w:rPr>
          <w:rFonts w:cs="Arial"/>
          <w:szCs w:val="22"/>
        </w:rPr>
        <w:t xml:space="preserve">Cuando la Corporación para el Desarrollo Sostenible del Norte y el Oriente Amazónico – CDA realice un cambio en una estimación contable, revelará lo siguiente: </w:t>
      </w:r>
    </w:p>
    <w:p w14:paraId="13481DB1" w14:textId="77777777" w:rsidR="00F53AB1" w:rsidRPr="00A85FEA" w:rsidRDefault="00F53AB1" w:rsidP="00A85FEA">
      <w:pPr>
        <w:jc w:val="both"/>
        <w:rPr>
          <w:rFonts w:cs="Arial"/>
          <w:szCs w:val="22"/>
        </w:rPr>
      </w:pPr>
    </w:p>
    <w:p w14:paraId="50A7D7FB" w14:textId="77777777" w:rsidR="00F53AB1" w:rsidRPr="00A85FEA" w:rsidRDefault="00F53AB1" w:rsidP="00A85FEA">
      <w:pPr>
        <w:jc w:val="both"/>
        <w:rPr>
          <w:rFonts w:cs="Arial"/>
          <w:szCs w:val="22"/>
        </w:rPr>
      </w:pPr>
      <w:r w:rsidRPr="00A85FEA">
        <w:rPr>
          <w:rFonts w:cs="Arial"/>
          <w:szCs w:val="22"/>
        </w:rPr>
        <w:t xml:space="preserve">la naturaleza del cambio; </w:t>
      </w:r>
    </w:p>
    <w:p w14:paraId="5215995D" w14:textId="77777777" w:rsidR="00F53AB1" w:rsidRPr="00A85FEA" w:rsidRDefault="00F53AB1" w:rsidP="00A85FEA">
      <w:pPr>
        <w:jc w:val="both"/>
        <w:rPr>
          <w:rFonts w:cs="Arial"/>
          <w:szCs w:val="22"/>
        </w:rPr>
      </w:pPr>
      <w:r w:rsidRPr="00A85FEA">
        <w:rPr>
          <w:rFonts w:cs="Arial"/>
          <w:szCs w:val="22"/>
        </w:rPr>
        <w:t xml:space="preserve">el valor del cambio en una estimación contable que haya producido efectos en el periodo actual o que se espere los produzca en periodos futuros; y </w:t>
      </w:r>
    </w:p>
    <w:p w14:paraId="21A9752E" w14:textId="77777777" w:rsidR="00F53AB1" w:rsidRPr="00A85FEA" w:rsidRDefault="00F53AB1" w:rsidP="00A85FEA">
      <w:pPr>
        <w:jc w:val="both"/>
        <w:rPr>
          <w:rFonts w:cs="Arial"/>
          <w:szCs w:val="22"/>
        </w:rPr>
      </w:pPr>
      <w:r w:rsidRPr="00A85FEA">
        <w:rPr>
          <w:rFonts w:cs="Arial"/>
          <w:szCs w:val="22"/>
        </w:rPr>
        <w:t>la justificación de la no revelación del efecto en periodos futuros.</w:t>
      </w:r>
    </w:p>
    <w:p w14:paraId="7D012ADE" w14:textId="77777777" w:rsidR="00F53AB1" w:rsidRPr="00A85FEA" w:rsidRDefault="00F53AB1" w:rsidP="00A85FEA">
      <w:pPr>
        <w:pStyle w:val="Ttulo1"/>
        <w:rPr>
          <w:rFonts w:ascii="Arial" w:hAnsi="Arial" w:cs="Arial"/>
          <w:color w:val="auto"/>
          <w:sz w:val="22"/>
          <w:szCs w:val="22"/>
        </w:rPr>
      </w:pPr>
      <w:bookmarkStart w:id="217" w:name="_Toc525721513"/>
      <w:r w:rsidRPr="00A85FEA">
        <w:rPr>
          <w:rFonts w:ascii="Arial" w:hAnsi="Arial" w:cs="Arial"/>
          <w:color w:val="auto"/>
          <w:sz w:val="22"/>
          <w:szCs w:val="22"/>
        </w:rPr>
        <w:t>2.3. Corrección de errores de periodos anteriores</w:t>
      </w:r>
      <w:bookmarkEnd w:id="217"/>
      <w:r w:rsidRPr="00A85FEA">
        <w:rPr>
          <w:rFonts w:ascii="Arial" w:hAnsi="Arial" w:cs="Arial"/>
          <w:color w:val="auto"/>
          <w:sz w:val="22"/>
          <w:szCs w:val="22"/>
        </w:rPr>
        <w:t xml:space="preserve"> </w:t>
      </w:r>
    </w:p>
    <w:p w14:paraId="30D67997" w14:textId="77777777" w:rsidR="00F53AB1" w:rsidRPr="00A85FEA" w:rsidRDefault="00F53AB1" w:rsidP="00D87929">
      <w:pPr>
        <w:rPr>
          <w:rFonts w:cs="Arial"/>
          <w:szCs w:val="22"/>
        </w:rPr>
      </w:pPr>
    </w:p>
    <w:p w14:paraId="2F0361E9" w14:textId="77777777" w:rsidR="00F53AB1" w:rsidRPr="00A85FEA" w:rsidRDefault="00F53AB1" w:rsidP="00A85FEA">
      <w:pPr>
        <w:jc w:val="both"/>
        <w:rPr>
          <w:rFonts w:cs="Arial"/>
          <w:szCs w:val="22"/>
        </w:rPr>
      </w:pPr>
      <w:r w:rsidRPr="00A85FEA">
        <w:rPr>
          <w:rFonts w:cs="Arial"/>
          <w:szCs w:val="22"/>
        </w:rPr>
        <w:t>Los errores son las omisiones e inexactitudes que se presentan en los estados financieros de la entidad, para uno o más periodos anteriores, como resultado de un fallo al utilizar información fiable que estaba disponible cuando los estados financieros para tales periodos fueron formulados y que podría esperarse razonablemente que se hubiera conseguido y tenido en cuenta en la elaboración y presentación de aquellos estados financieros. Se incluyen, entre otros, los efectos de errores aritméticos, errores en la aplicación de políticas contables, la inadvertencia o mala interpretación de hechos y los fraudes.</w:t>
      </w:r>
    </w:p>
    <w:p w14:paraId="2FCFE922" w14:textId="77777777" w:rsidR="00F53AB1" w:rsidRPr="00A85FEA" w:rsidRDefault="00F53AB1" w:rsidP="00A85FEA">
      <w:pPr>
        <w:jc w:val="both"/>
        <w:rPr>
          <w:rFonts w:cs="Arial"/>
          <w:szCs w:val="22"/>
        </w:rPr>
      </w:pPr>
    </w:p>
    <w:p w14:paraId="562F8DC0" w14:textId="77777777" w:rsidR="00F53AB1" w:rsidRPr="00A85FEA" w:rsidRDefault="00F53AB1" w:rsidP="00A85FEA">
      <w:pPr>
        <w:jc w:val="both"/>
        <w:rPr>
          <w:rFonts w:cs="Arial"/>
          <w:szCs w:val="22"/>
        </w:rPr>
      </w:pPr>
      <w:r w:rsidRPr="00A85FEA">
        <w:rPr>
          <w:rFonts w:cs="Arial"/>
          <w:szCs w:val="22"/>
        </w:rPr>
        <w:t xml:space="preserve">Los errores del periodo corriente, descubiertos en este mismo periodo, se corregirán antes de que se autorice la publicación de los estados financieros. </w:t>
      </w:r>
    </w:p>
    <w:p w14:paraId="795DD4C4" w14:textId="77777777" w:rsidR="00F53AB1" w:rsidRPr="00A85FEA" w:rsidRDefault="00F53AB1" w:rsidP="00A85FEA">
      <w:pPr>
        <w:jc w:val="both"/>
        <w:rPr>
          <w:rFonts w:cs="Arial"/>
          <w:szCs w:val="22"/>
        </w:rPr>
      </w:pPr>
    </w:p>
    <w:p w14:paraId="1FB85120" w14:textId="77777777" w:rsidR="00F53AB1" w:rsidRPr="00A85FEA" w:rsidRDefault="00F53AB1" w:rsidP="00A85FEA">
      <w:pPr>
        <w:jc w:val="both"/>
        <w:rPr>
          <w:rFonts w:cs="Arial"/>
          <w:szCs w:val="22"/>
        </w:rPr>
      </w:pPr>
      <w:r w:rsidRPr="00A85FEA">
        <w:rPr>
          <w:rFonts w:cs="Arial"/>
          <w:szCs w:val="22"/>
        </w:rPr>
        <w:t xml:space="preserve">La Corporación para el Desarrollo Sostenible del Norte y el Oriente Amazónico – CDA corregirá los errores de periodos anteriores, sean materiales o no, en el periodo en el que se descubra el error, ajustando el valor de las partidas de activos, pasivos y patrimonio, que se vieron afectadas por este. En consecuencia, el efecto de la corrección de un error de periodos anteriores en ningún caso se incluirá en el resultado del periodo en el que se descubra el error. </w:t>
      </w:r>
    </w:p>
    <w:p w14:paraId="7D0CFE15" w14:textId="77777777" w:rsidR="00F53AB1" w:rsidRPr="00A85FEA" w:rsidRDefault="00F53AB1" w:rsidP="00A85FEA">
      <w:pPr>
        <w:jc w:val="both"/>
        <w:rPr>
          <w:rFonts w:cs="Arial"/>
          <w:szCs w:val="22"/>
        </w:rPr>
      </w:pPr>
    </w:p>
    <w:p w14:paraId="767C5413" w14:textId="77777777" w:rsidR="00F53AB1" w:rsidRPr="00A85FEA" w:rsidRDefault="00F53AB1" w:rsidP="00A85FEA">
      <w:pPr>
        <w:jc w:val="both"/>
        <w:rPr>
          <w:rFonts w:cs="Arial"/>
          <w:szCs w:val="22"/>
        </w:rPr>
      </w:pPr>
      <w:r w:rsidRPr="00A85FEA">
        <w:rPr>
          <w:rFonts w:cs="Arial"/>
          <w:szCs w:val="22"/>
        </w:rPr>
        <w:t>En caso de errores de periodos anteriores que sean materiales, para efectos de presentación, la entidad re expresará de manera retroactiva la información comparativa afectada por el error. Si el error ocurrió con antelación al periodo más antiguo para el que se presente información, se re expresarán los saldos iniciales de los activos, pasivos y patrimonio para el periodo más antiguo para el que se presente información, de forma que los estados financieros se presenten como si los errores no se hubieran cometido nunca.</w:t>
      </w:r>
    </w:p>
    <w:p w14:paraId="1AB26533" w14:textId="77777777" w:rsidR="00F53AB1" w:rsidRPr="00A85FEA" w:rsidRDefault="00F53AB1" w:rsidP="00A85FEA">
      <w:pPr>
        <w:jc w:val="both"/>
        <w:rPr>
          <w:rFonts w:cs="Arial"/>
          <w:szCs w:val="22"/>
        </w:rPr>
      </w:pPr>
    </w:p>
    <w:p w14:paraId="48E11897" w14:textId="77777777" w:rsidR="00F53AB1" w:rsidRPr="00A85FEA" w:rsidRDefault="00F53AB1" w:rsidP="00A85FEA">
      <w:pPr>
        <w:jc w:val="both"/>
        <w:rPr>
          <w:rFonts w:cs="Arial"/>
          <w:szCs w:val="22"/>
        </w:rPr>
      </w:pPr>
      <w:r w:rsidRPr="00A85FEA">
        <w:rPr>
          <w:rFonts w:cs="Arial"/>
          <w:szCs w:val="22"/>
        </w:rPr>
        <w:t xml:space="preserve">Cuando sea impracticable determinar el efecto acumulado al principio del periodo más antiguo para el que se presente información, la entidad re expresará la información desde </w:t>
      </w:r>
      <w:r w:rsidRPr="00A85FEA">
        <w:rPr>
          <w:rFonts w:cs="Arial"/>
          <w:szCs w:val="22"/>
        </w:rPr>
        <w:lastRenderedPageBreak/>
        <w:t xml:space="preserve">la fecha en la cual dicha re expresión sea practicable, o de forma prospectiva si no es practicable hacer la re expresión. </w:t>
      </w:r>
    </w:p>
    <w:p w14:paraId="7E792222" w14:textId="77777777" w:rsidR="00F53AB1" w:rsidRPr="00A85FEA" w:rsidRDefault="00F53AB1" w:rsidP="00A85FEA">
      <w:pPr>
        <w:jc w:val="both"/>
        <w:rPr>
          <w:rFonts w:cs="Arial"/>
          <w:szCs w:val="22"/>
        </w:rPr>
      </w:pPr>
    </w:p>
    <w:p w14:paraId="081F64EC" w14:textId="77777777" w:rsidR="00F53AB1" w:rsidRPr="00A85FEA" w:rsidRDefault="00F53AB1" w:rsidP="00A85FEA">
      <w:pPr>
        <w:jc w:val="both"/>
        <w:rPr>
          <w:rFonts w:cs="Arial"/>
          <w:szCs w:val="22"/>
        </w:rPr>
      </w:pPr>
      <w:r w:rsidRPr="00A85FEA">
        <w:rPr>
          <w:rFonts w:cs="Arial"/>
          <w:szCs w:val="22"/>
        </w:rPr>
        <w:t xml:space="preserve">En caso de errores de periodos anteriores que sean inmateriales no se requerirá su re expresión retroactiva. </w:t>
      </w:r>
    </w:p>
    <w:p w14:paraId="376F5ADF" w14:textId="77777777" w:rsidR="00F53AB1" w:rsidRPr="00A85FEA" w:rsidRDefault="00F53AB1" w:rsidP="00A85FEA">
      <w:pPr>
        <w:jc w:val="both"/>
        <w:rPr>
          <w:rFonts w:cs="Arial"/>
          <w:szCs w:val="22"/>
        </w:rPr>
      </w:pPr>
      <w:r w:rsidRPr="00A85FEA">
        <w:rPr>
          <w:rFonts w:cs="Arial"/>
          <w:szCs w:val="22"/>
        </w:rPr>
        <w:t xml:space="preserve">De acuerdo con la Norma de presentación de estados financieros, cuando la Corporación para el Desarrollo Sostenible del Norte y el Oriente Amazónico – CDA corrija errores materiales de periodos anteriores, presentará los efectos en el estado de cambios en el patrimonio del periodo. </w:t>
      </w:r>
    </w:p>
    <w:p w14:paraId="45FDEC23" w14:textId="77777777" w:rsidR="00F53AB1" w:rsidRPr="00A85FEA" w:rsidRDefault="00F53AB1" w:rsidP="00A85FEA">
      <w:pPr>
        <w:jc w:val="both"/>
        <w:rPr>
          <w:rFonts w:cs="Arial"/>
          <w:szCs w:val="22"/>
        </w:rPr>
      </w:pPr>
    </w:p>
    <w:p w14:paraId="3958CD5D" w14:textId="77777777" w:rsidR="00F53AB1" w:rsidRPr="00A85FEA" w:rsidRDefault="00F53AB1" w:rsidP="00A85FEA">
      <w:pPr>
        <w:jc w:val="both"/>
        <w:rPr>
          <w:rFonts w:cs="Arial"/>
          <w:szCs w:val="22"/>
        </w:rPr>
      </w:pPr>
      <w:r w:rsidRPr="00A85FEA">
        <w:rPr>
          <w:rFonts w:cs="Arial"/>
          <w:szCs w:val="22"/>
        </w:rPr>
        <w:t xml:space="preserve">Cuando la entidad efectúe una corrección de errores de periodos anteriores revelará lo siguiente: </w:t>
      </w:r>
    </w:p>
    <w:p w14:paraId="1ECB29AD" w14:textId="77777777" w:rsidR="00F53AB1" w:rsidRPr="00A85FEA" w:rsidRDefault="00F53AB1" w:rsidP="00A85FEA">
      <w:pPr>
        <w:jc w:val="both"/>
        <w:rPr>
          <w:rFonts w:cs="Arial"/>
          <w:szCs w:val="22"/>
        </w:rPr>
      </w:pPr>
      <w:r w:rsidRPr="00A85FEA">
        <w:rPr>
          <w:rFonts w:cs="Arial"/>
          <w:szCs w:val="22"/>
        </w:rPr>
        <w:t>la naturaleza del error de periodos anteriores;</w:t>
      </w:r>
    </w:p>
    <w:p w14:paraId="730A90DC" w14:textId="77777777" w:rsidR="00F53AB1" w:rsidRPr="00A85FEA" w:rsidRDefault="00F53AB1" w:rsidP="00A85FEA">
      <w:pPr>
        <w:jc w:val="both"/>
        <w:rPr>
          <w:rFonts w:cs="Arial"/>
          <w:szCs w:val="22"/>
        </w:rPr>
      </w:pPr>
      <w:r w:rsidRPr="00A85FEA">
        <w:rPr>
          <w:rFonts w:cs="Arial"/>
          <w:szCs w:val="22"/>
        </w:rPr>
        <w:t xml:space="preserve">el valor del ajuste para cada periodo anterior presentado, si es posible; </w:t>
      </w:r>
    </w:p>
    <w:p w14:paraId="77643EE8" w14:textId="77777777" w:rsidR="00F53AB1" w:rsidRPr="00A85FEA" w:rsidRDefault="00F53AB1" w:rsidP="00A85FEA">
      <w:pPr>
        <w:jc w:val="both"/>
        <w:rPr>
          <w:rFonts w:cs="Arial"/>
          <w:szCs w:val="22"/>
        </w:rPr>
      </w:pPr>
      <w:r w:rsidRPr="00A85FEA">
        <w:rPr>
          <w:rFonts w:cs="Arial"/>
          <w:szCs w:val="22"/>
        </w:rPr>
        <w:t xml:space="preserve">el valor del ajuste al principio del periodo anterior más antiguo sobre el que se presente información; y </w:t>
      </w:r>
    </w:p>
    <w:p w14:paraId="5BCE3534" w14:textId="77777777" w:rsidR="00F53AB1" w:rsidRPr="00A85FEA" w:rsidRDefault="00F53AB1" w:rsidP="00A85FEA">
      <w:pPr>
        <w:jc w:val="both"/>
        <w:rPr>
          <w:rFonts w:cs="Arial"/>
          <w:szCs w:val="22"/>
        </w:rPr>
      </w:pPr>
      <w:r w:rsidRPr="00A85FEA">
        <w:rPr>
          <w:rFonts w:cs="Arial"/>
          <w:szCs w:val="22"/>
        </w:rPr>
        <w:t>una justificación de las razones por las cuales no se realizó una reexpresión retroactiva por efecto de la corrección del error.</w:t>
      </w:r>
    </w:p>
    <w:p w14:paraId="10DBED87" w14:textId="77777777" w:rsidR="00F53AB1" w:rsidRPr="00A85FEA" w:rsidRDefault="00F53AB1" w:rsidP="00A85FEA">
      <w:pPr>
        <w:pStyle w:val="Ttulo1"/>
        <w:rPr>
          <w:rFonts w:ascii="Arial" w:hAnsi="Arial" w:cs="Arial"/>
          <w:color w:val="auto"/>
          <w:sz w:val="22"/>
          <w:szCs w:val="22"/>
        </w:rPr>
      </w:pPr>
      <w:bookmarkStart w:id="218" w:name="_Toc525721514"/>
      <w:r w:rsidRPr="00A85FEA">
        <w:rPr>
          <w:rFonts w:ascii="Arial" w:hAnsi="Arial" w:cs="Arial"/>
          <w:color w:val="auto"/>
          <w:sz w:val="22"/>
          <w:szCs w:val="22"/>
        </w:rPr>
        <w:t>3. HECHOS OCURRIDOS DESPUÉS DEL PERIODO CONTABLE</w:t>
      </w:r>
      <w:bookmarkEnd w:id="218"/>
    </w:p>
    <w:p w14:paraId="6033FB27" w14:textId="77777777" w:rsidR="00F53AB1" w:rsidRPr="00A85FEA" w:rsidRDefault="00F53AB1" w:rsidP="00D87929">
      <w:pPr>
        <w:rPr>
          <w:rFonts w:cs="Arial"/>
          <w:szCs w:val="22"/>
        </w:rPr>
      </w:pPr>
    </w:p>
    <w:p w14:paraId="45370054" w14:textId="77777777" w:rsidR="00F53AB1" w:rsidRPr="00A85FEA" w:rsidRDefault="00F53AB1" w:rsidP="00A85FEA">
      <w:pPr>
        <w:jc w:val="both"/>
        <w:rPr>
          <w:rFonts w:cs="Arial"/>
          <w:szCs w:val="22"/>
        </w:rPr>
      </w:pPr>
      <w:r w:rsidRPr="00A85FEA">
        <w:rPr>
          <w:rFonts w:cs="Arial"/>
          <w:szCs w:val="22"/>
        </w:rPr>
        <w:t xml:space="preserve">Los hechos ocurridos después del periodo contable son todos aquellos eventos, favorables o desfavorables, que se producen entre el final del periodo contable y la fecha de autorización para la publicación de los estados financieros. </w:t>
      </w:r>
    </w:p>
    <w:p w14:paraId="6A146557" w14:textId="77777777" w:rsidR="00F53AB1" w:rsidRPr="00A85FEA" w:rsidRDefault="00F53AB1" w:rsidP="00A85FEA">
      <w:pPr>
        <w:jc w:val="both"/>
        <w:rPr>
          <w:rFonts w:cs="Arial"/>
          <w:szCs w:val="22"/>
        </w:rPr>
      </w:pPr>
    </w:p>
    <w:p w14:paraId="2B8097BE" w14:textId="77777777" w:rsidR="00F53AB1" w:rsidRPr="00A85FEA" w:rsidRDefault="00F53AB1" w:rsidP="00A85FEA">
      <w:pPr>
        <w:jc w:val="both"/>
        <w:rPr>
          <w:rFonts w:cs="Arial"/>
          <w:szCs w:val="22"/>
        </w:rPr>
      </w:pPr>
      <w:r w:rsidRPr="00A85FEA">
        <w:rPr>
          <w:rFonts w:cs="Arial"/>
          <w:szCs w:val="22"/>
        </w:rPr>
        <w:t xml:space="preserve">El final del periodo contable se refiere al último día del periodo con el cual están relacionados los estados financieros y corresponderá al 31 de diciembre. Por su parte, la fecha de autorización para la publicación de los estados financieros corresponderá a la fecha en la que se apruebe que los diferentes usuarios tengan conocimiento de estos. </w:t>
      </w:r>
    </w:p>
    <w:p w14:paraId="7F4A2564" w14:textId="77777777" w:rsidR="00F53AB1" w:rsidRPr="00A85FEA" w:rsidRDefault="00F53AB1" w:rsidP="00A85FEA">
      <w:pPr>
        <w:jc w:val="both"/>
        <w:rPr>
          <w:rFonts w:cs="Arial"/>
          <w:szCs w:val="22"/>
        </w:rPr>
      </w:pPr>
    </w:p>
    <w:p w14:paraId="5A897792" w14:textId="77777777" w:rsidR="00F53AB1" w:rsidRPr="00A85FEA" w:rsidRDefault="00F53AB1" w:rsidP="00A85FEA">
      <w:pPr>
        <w:jc w:val="both"/>
        <w:rPr>
          <w:rFonts w:cs="Arial"/>
          <w:szCs w:val="22"/>
        </w:rPr>
      </w:pPr>
      <w:r w:rsidRPr="00A85FEA">
        <w:rPr>
          <w:rFonts w:cs="Arial"/>
          <w:szCs w:val="22"/>
        </w:rPr>
        <w:t xml:space="preserve">Pueden identificarse dos tipos de eventos: los que implican ajuste y los que no implican ajuste. </w:t>
      </w:r>
    </w:p>
    <w:p w14:paraId="66BCFAD2" w14:textId="77777777" w:rsidR="00F53AB1" w:rsidRPr="00A85FEA" w:rsidRDefault="00F53AB1" w:rsidP="00A85FEA">
      <w:pPr>
        <w:pStyle w:val="Ttulo1"/>
        <w:rPr>
          <w:rFonts w:ascii="Arial" w:hAnsi="Arial" w:cs="Arial"/>
          <w:color w:val="auto"/>
          <w:sz w:val="22"/>
          <w:szCs w:val="22"/>
        </w:rPr>
      </w:pPr>
      <w:bookmarkStart w:id="219" w:name="_Toc525721515"/>
      <w:r w:rsidRPr="00A85FEA">
        <w:rPr>
          <w:rFonts w:ascii="Arial" w:hAnsi="Arial" w:cs="Arial"/>
          <w:color w:val="auto"/>
          <w:sz w:val="22"/>
          <w:szCs w:val="22"/>
        </w:rPr>
        <w:t>3.1. Hechos ocurridos después del periodo contable que implican ajuste</w:t>
      </w:r>
      <w:bookmarkEnd w:id="219"/>
      <w:r w:rsidRPr="00A85FEA">
        <w:rPr>
          <w:rFonts w:ascii="Arial" w:hAnsi="Arial" w:cs="Arial"/>
          <w:color w:val="auto"/>
          <w:sz w:val="22"/>
          <w:szCs w:val="22"/>
        </w:rPr>
        <w:t xml:space="preserve"> </w:t>
      </w:r>
    </w:p>
    <w:p w14:paraId="7AEF41DF" w14:textId="77777777" w:rsidR="00F53AB1" w:rsidRPr="00A85FEA" w:rsidRDefault="00F53AB1" w:rsidP="00D87929">
      <w:pPr>
        <w:rPr>
          <w:rFonts w:cs="Arial"/>
          <w:szCs w:val="22"/>
        </w:rPr>
      </w:pPr>
    </w:p>
    <w:p w14:paraId="47BF0451" w14:textId="77777777" w:rsidR="00F53AB1" w:rsidRPr="00A85FEA" w:rsidRDefault="00F53AB1" w:rsidP="00A85FEA">
      <w:pPr>
        <w:jc w:val="both"/>
        <w:rPr>
          <w:rFonts w:cs="Arial"/>
          <w:szCs w:val="22"/>
        </w:rPr>
      </w:pPr>
      <w:r w:rsidRPr="00A85FEA">
        <w:rPr>
          <w:rFonts w:cs="Arial"/>
          <w:szCs w:val="22"/>
        </w:rPr>
        <w:t xml:space="preserve">Los hechos ocurridos después del periodo contable que implican ajuste son aquellos que proporcionan evidencias de las condiciones existentes al final de dicho periodo. La Corporación para el Desarrollo Sostenible del Norte y el Oriente Amazónico – CDA ajustará los valores en sus estados financieros para reflejar la incidencia de los hechos ocurridos después del periodo contable que impliquen ajuste. </w:t>
      </w:r>
    </w:p>
    <w:p w14:paraId="06157E75" w14:textId="77777777" w:rsidR="00F53AB1" w:rsidRPr="00A85FEA" w:rsidRDefault="00F53AB1" w:rsidP="00A85FEA">
      <w:pPr>
        <w:jc w:val="both"/>
        <w:rPr>
          <w:rFonts w:cs="Arial"/>
          <w:szCs w:val="22"/>
        </w:rPr>
      </w:pPr>
      <w:r w:rsidRPr="00A85FEA">
        <w:rPr>
          <w:rFonts w:cs="Arial"/>
          <w:szCs w:val="22"/>
        </w:rPr>
        <w:lastRenderedPageBreak/>
        <w:t xml:space="preserve">Algunos de los eventos que proporcionan evidencia de las condiciones existentes al final del periodo contable y que implican el reconocimiento o el ajuste de los activos, pasivos, patrimonio, ingresos, gastos y costos son los siguientes: </w:t>
      </w:r>
    </w:p>
    <w:p w14:paraId="01A0F89E" w14:textId="77777777" w:rsidR="00F53AB1" w:rsidRPr="00A85FEA" w:rsidRDefault="00F53AB1" w:rsidP="00A85FEA">
      <w:pPr>
        <w:jc w:val="both"/>
        <w:rPr>
          <w:rFonts w:cs="Arial"/>
          <w:szCs w:val="22"/>
        </w:rPr>
      </w:pPr>
    </w:p>
    <w:p w14:paraId="176E7C06" w14:textId="77777777" w:rsidR="00F53AB1" w:rsidRPr="00A85FEA" w:rsidRDefault="00F53AB1" w:rsidP="00A85FEA">
      <w:pPr>
        <w:jc w:val="both"/>
        <w:rPr>
          <w:rFonts w:cs="Arial"/>
          <w:szCs w:val="22"/>
        </w:rPr>
      </w:pPr>
      <w:r w:rsidRPr="00A85FEA">
        <w:rPr>
          <w:rFonts w:cs="Arial"/>
          <w:szCs w:val="22"/>
        </w:rPr>
        <w:t>la resolución de un litigio judicial que confirme que la entidad tenía una obligación presente al final del periodo contable;</w:t>
      </w:r>
    </w:p>
    <w:p w14:paraId="0498B59F" w14:textId="77777777" w:rsidR="00F53AB1" w:rsidRPr="00A85FEA" w:rsidRDefault="00F53AB1" w:rsidP="00A85FEA">
      <w:pPr>
        <w:jc w:val="both"/>
        <w:rPr>
          <w:rFonts w:cs="Arial"/>
          <w:szCs w:val="22"/>
        </w:rPr>
      </w:pPr>
      <w:r w:rsidRPr="00A85FEA">
        <w:rPr>
          <w:rFonts w:cs="Arial"/>
          <w:szCs w:val="22"/>
        </w:rPr>
        <w:t xml:space="preserve">la recepción de información que indique el deterioro del valor de un activo al final del periodo contable o la necesidad de ajuste de un deterioro del valor anteriormente reconocido; </w:t>
      </w:r>
    </w:p>
    <w:p w14:paraId="717C3FA8" w14:textId="77777777" w:rsidR="00F53AB1" w:rsidRPr="00A85FEA" w:rsidRDefault="00F53AB1" w:rsidP="00A85FEA">
      <w:pPr>
        <w:jc w:val="both"/>
        <w:rPr>
          <w:rFonts w:cs="Arial"/>
          <w:szCs w:val="22"/>
        </w:rPr>
      </w:pPr>
      <w:r w:rsidRPr="00A85FEA">
        <w:rPr>
          <w:rFonts w:cs="Arial"/>
          <w:szCs w:val="22"/>
        </w:rPr>
        <w:t>la determinación del valor de transacciones realizadas no reconocidas;</w:t>
      </w:r>
    </w:p>
    <w:p w14:paraId="46A2FCA4" w14:textId="77777777" w:rsidR="00F53AB1" w:rsidRPr="00A85FEA" w:rsidRDefault="00F53AB1" w:rsidP="00A85FEA">
      <w:pPr>
        <w:jc w:val="both"/>
        <w:rPr>
          <w:rFonts w:cs="Arial"/>
          <w:szCs w:val="22"/>
        </w:rPr>
      </w:pPr>
      <w:r w:rsidRPr="00A85FEA">
        <w:rPr>
          <w:rFonts w:cs="Arial"/>
          <w:szCs w:val="22"/>
        </w:rPr>
        <w:t>la determinación del valor de los ingresos cobrados durante el periodo contable que serán compartidos con otras entidades;</w:t>
      </w:r>
    </w:p>
    <w:p w14:paraId="75C2F152" w14:textId="77777777" w:rsidR="00F53AB1" w:rsidRPr="00A85FEA" w:rsidRDefault="00F53AB1" w:rsidP="00D87929">
      <w:pPr>
        <w:rPr>
          <w:rFonts w:cs="Arial"/>
          <w:szCs w:val="22"/>
        </w:rPr>
      </w:pPr>
      <w:r w:rsidRPr="00A85FEA">
        <w:rPr>
          <w:rFonts w:cs="Arial"/>
          <w:szCs w:val="22"/>
        </w:rPr>
        <w:t xml:space="preserve">el descubrimiento de fraudes o errores que demuestren que los estados financieros eran incorrectos. </w:t>
      </w:r>
    </w:p>
    <w:p w14:paraId="52B0DD82" w14:textId="77777777" w:rsidR="00F53AB1" w:rsidRPr="00A85FEA" w:rsidRDefault="00F53AB1" w:rsidP="00A85FEA">
      <w:pPr>
        <w:pStyle w:val="Ttulo1"/>
        <w:rPr>
          <w:rFonts w:ascii="Arial" w:hAnsi="Arial" w:cs="Arial"/>
          <w:color w:val="auto"/>
          <w:sz w:val="22"/>
          <w:szCs w:val="22"/>
        </w:rPr>
      </w:pPr>
      <w:bookmarkStart w:id="220" w:name="_Toc525721516"/>
      <w:r w:rsidRPr="00A85FEA">
        <w:rPr>
          <w:rFonts w:ascii="Arial" w:hAnsi="Arial" w:cs="Arial"/>
          <w:color w:val="auto"/>
          <w:sz w:val="22"/>
          <w:szCs w:val="22"/>
        </w:rPr>
        <w:t>3.2. Hechos ocurridos después del periodo contable que no implican ajuste</w:t>
      </w:r>
      <w:bookmarkEnd w:id="220"/>
      <w:r w:rsidRPr="00A85FEA">
        <w:rPr>
          <w:rFonts w:ascii="Arial" w:hAnsi="Arial" w:cs="Arial"/>
          <w:color w:val="auto"/>
          <w:sz w:val="22"/>
          <w:szCs w:val="22"/>
        </w:rPr>
        <w:t xml:space="preserve"> </w:t>
      </w:r>
    </w:p>
    <w:p w14:paraId="662EB4D7" w14:textId="77777777" w:rsidR="00F53AB1" w:rsidRPr="00A85FEA" w:rsidRDefault="00F53AB1" w:rsidP="00D87929">
      <w:pPr>
        <w:rPr>
          <w:rFonts w:cs="Arial"/>
          <w:szCs w:val="22"/>
        </w:rPr>
      </w:pPr>
    </w:p>
    <w:p w14:paraId="28DC9C89" w14:textId="77777777" w:rsidR="00F53AB1" w:rsidRPr="00A85FEA" w:rsidRDefault="00F53AB1" w:rsidP="00A85FEA">
      <w:pPr>
        <w:jc w:val="both"/>
        <w:rPr>
          <w:rFonts w:cs="Arial"/>
          <w:szCs w:val="22"/>
        </w:rPr>
      </w:pPr>
      <w:r w:rsidRPr="00A85FEA">
        <w:rPr>
          <w:rFonts w:cs="Arial"/>
          <w:szCs w:val="22"/>
        </w:rPr>
        <w:t xml:space="preserve">Los hechos ocurridos después del periodo contable que no implican ajuste son aquellos que indican condiciones surgidas después de este y que, por su materialidad, serán objeto de revelación. </w:t>
      </w:r>
    </w:p>
    <w:p w14:paraId="326DF3FC" w14:textId="77777777" w:rsidR="00F53AB1" w:rsidRPr="00A85FEA" w:rsidRDefault="00F53AB1" w:rsidP="00A85FEA">
      <w:pPr>
        <w:jc w:val="both"/>
        <w:rPr>
          <w:rFonts w:cs="Arial"/>
          <w:szCs w:val="22"/>
        </w:rPr>
      </w:pPr>
    </w:p>
    <w:p w14:paraId="3F35D793" w14:textId="77777777" w:rsidR="00F53AB1" w:rsidRPr="00A85FEA" w:rsidRDefault="00F53AB1" w:rsidP="00A85FEA">
      <w:pPr>
        <w:jc w:val="both"/>
        <w:rPr>
          <w:rFonts w:cs="Arial"/>
          <w:szCs w:val="22"/>
        </w:rPr>
      </w:pPr>
      <w:r w:rsidRPr="00A85FEA">
        <w:rPr>
          <w:rFonts w:cs="Arial"/>
          <w:szCs w:val="22"/>
        </w:rPr>
        <w:t>Algunos de los eventos ocurridos después del periodo contable que indican condiciones surgidas después del periodo que no implican ajuste y que serán objeto de revelación debido a su materialidad son los siguientes:</w:t>
      </w:r>
    </w:p>
    <w:p w14:paraId="0F9BF1C1" w14:textId="77777777" w:rsidR="00F53AB1" w:rsidRPr="00A85FEA" w:rsidRDefault="00F53AB1" w:rsidP="00A85FEA">
      <w:pPr>
        <w:jc w:val="both"/>
        <w:rPr>
          <w:rFonts w:cs="Arial"/>
          <w:szCs w:val="22"/>
        </w:rPr>
      </w:pPr>
    </w:p>
    <w:p w14:paraId="6C963A4C" w14:textId="77777777" w:rsidR="00F53AB1" w:rsidRPr="00A85FEA" w:rsidRDefault="00F53AB1" w:rsidP="00A85FEA">
      <w:pPr>
        <w:jc w:val="both"/>
        <w:rPr>
          <w:rFonts w:cs="Arial"/>
          <w:szCs w:val="22"/>
        </w:rPr>
      </w:pPr>
      <w:r w:rsidRPr="00A85FEA">
        <w:rPr>
          <w:rFonts w:cs="Arial"/>
          <w:szCs w:val="22"/>
        </w:rPr>
        <w:t>las compras o disposiciones significativas de activos;</w:t>
      </w:r>
    </w:p>
    <w:p w14:paraId="5A4776DC" w14:textId="77777777" w:rsidR="00F53AB1" w:rsidRPr="00A85FEA" w:rsidRDefault="00F53AB1" w:rsidP="00A85FEA">
      <w:pPr>
        <w:jc w:val="both"/>
        <w:rPr>
          <w:rFonts w:cs="Arial"/>
          <w:szCs w:val="22"/>
        </w:rPr>
      </w:pPr>
      <w:r w:rsidRPr="00A85FEA">
        <w:rPr>
          <w:rFonts w:cs="Arial"/>
          <w:szCs w:val="22"/>
        </w:rPr>
        <w:t>la ocurrencia de siniestros;</w:t>
      </w:r>
    </w:p>
    <w:p w14:paraId="02A7BC81" w14:textId="77777777" w:rsidR="00F53AB1" w:rsidRPr="00A85FEA" w:rsidRDefault="00F53AB1" w:rsidP="00A85FEA">
      <w:pPr>
        <w:jc w:val="both"/>
        <w:rPr>
          <w:rFonts w:cs="Arial"/>
          <w:szCs w:val="22"/>
        </w:rPr>
      </w:pPr>
      <w:r w:rsidRPr="00A85FEA">
        <w:rPr>
          <w:rFonts w:cs="Arial"/>
          <w:szCs w:val="22"/>
        </w:rPr>
        <w:t>la decisión de la liquidación o cese de actividades de la entidad;</w:t>
      </w:r>
    </w:p>
    <w:p w14:paraId="77F74786" w14:textId="77777777" w:rsidR="00F53AB1" w:rsidRPr="00A85FEA" w:rsidRDefault="00F53AB1" w:rsidP="00A85FEA">
      <w:pPr>
        <w:jc w:val="both"/>
        <w:rPr>
          <w:rFonts w:cs="Arial"/>
          <w:szCs w:val="22"/>
        </w:rPr>
      </w:pPr>
      <w:r w:rsidRPr="00A85FEA">
        <w:rPr>
          <w:rFonts w:cs="Arial"/>
          <w:szCs w:val="22"/>
        </w:rPr>
        <w:t>las variaciones importantes en los precios de los activos</w:t>
      </w:r>
    </w:p>
    <w:p w14:paraId="647FD564" w14:textId="77777777" w:rsidR="00F53AB1" w:rsidRPr="00A85FEA" w:rsidRDefault="00F53AB1" w:rsidP="00A85FEA">
      <w:pPr>
        <w:jc w:val="both"/>
        <w:rPr>
          <w:rFonts w:cs="Arial"/>
          <w:szCs w:val="22"/>
        </w:rPr>
      </w:pPr>
      <w:r w:rsidRPr="00A85FEA">
        <w:rPr>
          <w:rFonts w:cs="Arial"/>
          <w:szCs w:val="22"/>
        </w:rPr>
        <w:t xml:space="preserve">el inicio de litigios. </w:t>
      </w:r>
    </w:p>
    <w:p w14:paraId="172A5BE3" w14:textId="77777777" w:rsidR="00F53AB1" w:rsidRPr="00A85FEA" w:rsidRDefault="00F53AB1" w:rsidP="00A85FEA">
      <w:pPr>
        <w:pStyle w:val="Ttulo1"/>
        <w:rPr>
          <w:rFonts w:ascii="Arial" w:hAnsi="Arial" w:cs="Arial"/>
          <w:color w:val="auto"/>
          <w:sz w:val="22"/>
          <w:szCs w:val="22"/>
        </w:rPr>
      </w:pPr>
      <w:bookmarkStart w:id="221" w:name="_Toc525721517"/>
      <w:r w:rsidRPr="00A85FEA">
        <w:rPr>
          <w:rFonts w:ascii="Arial" w:hAnsi="Arial" w:cs="Arial"/>
          <w:color w:val="auto"/>
          <w:sz w:val="22"/>
          <w:szCs w:val="22"/>
        </w:rPr>
        <w:t>3.3. Revelaciones</w:t>
      </w:r>
      <w:bookmarkEnd w:id="221"/>
      <w:r w:rsidRPr="00A85FEA">
        <w:rPr>
          <w:rFonts w:ascii="Arial" w:hAnsi="Arial" w:cs="Arial"/>
          <w:color w:val="auto"/>
          <w:sz w:val="22"/>
          <w:szCs w:val="22"/>
        </w:rPr>
        <w:t xml:space="preserve"> </w:t>
      </w:r>
    </w:p>
    <w:p w14:paraId="4F13BEEC" w14:textId="77777777" w:rsidR="00F53AB1" w:rsidRPr="00A85FEA" w:rsidRDefault="00F53AB1" w:rsidP="00D87929">
      <w:pPr>
        <w:rPr>
          <w:rFonts w:cs="Arial"/>
          <w:szCs w:val="22"/>
        </w:rPr>
      </w:pPr>
    </w:p>
    <w:p w14:paraId="43904B10" w14:textId="77777777" w:rsidR="00F53AB1" w:rsidRPr="00A85FEA" w:rsidRDefault="00F53AB1" w:rsidP="00A85FEA">
      <w:pPr>
        <w:jc w:val="both"/>
        <w:rPr>
          <w:rFonts w:cs="Arial"/>
          <w:szCs w:val="22"/>
        </w:rPr>
      </w:pPr>
      <w:r w:rsidRPr="00A85FEA">
        <w:rPr>
          <w:rFonts w:cs="Arial"/>
          <w:szCs w:val="22"/>
        </w:rPr>
        <w:t xml:space="preserve">La información revelada en las notas a los estados financieros y relacionada con las partidas objeto de ajuste se actualizará en función de la información recibida. Así mismo, la Corporación para el Desarrollo Sostenible del Norte y el Oriente Amazónico – CDA revelará la siguiente información: </w:t>
      </w:r>
    </w:p>
    <w:p w14:paraId="119C6ACC" w14:textId="77777777" w:rsidR="00F53AB1" w:rsidRPr="00A85FEA" w:rsidRDefault="00F53AB1" w:rsidP="00A85FEA">
      <w:pPr>
        <w:jc w:val="both"/>
        <w:rPr>
          <w:rFonts w:cs="Arial"/>
          <w:szCs w:val="22"/>
        </w:rPr>
      </w:pPr>
    </w:p>
    <w:p w14:paraId="38B9E09D" w14:textId="77777777" w:rsidR="00F53AB1" w:rsidRPr="00A85FEA" w:rsidRDefault="00F53AB1" w:rsidP="00A85FEA">
      <w:pPr>
        <w:jc w:val="both"/>
        <w:rPr>
          <w:rFonts w:cs="Arial"/>
          <w:szCs w:val="22"/>
        </w:rPr>
      </w:pPr>
      <w:r w:rsidRPr="00A85FEA">
        <w:rPr>
          <w:rFonts w:cs="Arial"/>
          <w:szCs w:val="22"/>
        </w:rPr>
        <w:t>la fecha de autorización para la publicación de los estados financieros,</w:t>
      </w:r>
    </w:p>
    <w:p w14:paraId="4DEAABF8" w14:textId="77777777" w:rsidR="00F53AB1" w:rsidRPr="00A85FEA" w:rsidRDefault="00F53AB1" w:rsidP="00A85FEA">
      <w:pPr>
        <w:jc w:val="both"/>
        <w:rPr>
          <w:rFonts w:cs="Arial"/>
          <w:szCs w:val="22"/>
        </w:rPr>
      </w:pPr>
      <w:r w:rsidRPr="00A85FEA">
        <w:rPr>
          <w:rFonts w:cs="Arial"/>
          <w:szCs w:val="22"/>
        </w:rPr>
        <w:t>el responsable de la autorización,</w:t>
      </w:r>
    </w:p>
    <w:p w14:paraId="3ED42721" w14:textId="77777777" w:rsidR="00F53AB1" w:rsidRPr="00A85FEA" w:rsidRDefault="00F53AB1" w:rsidP="00A85FEA">
      <w:pPr>
        <w:jc w:val="both"/>
        <w:rPr>
          <w:rFonts w:cs="Arial"/>
          <w:szCs w:val="22"/>
        </w:rPr>
      </w:pPr>
      <w:r w:rsidRPr="00A85FEA">
        <w:rPr>
          <w:rFonts w:cs="Arial"/>
          <w:szCs w:val="22"/>
        </w:rPr>
        <w:lastRenderedPageBreak/>
        <w:t>la existencia de alguna instancia que tenga la facultad de ordenar la modificación de los estados financieros una vez se hayan publicado,</w:t>
      </w:r>
    </w:p>
    <w:p w14:paraId="6BEDF540" w14:textId="77777777" w:rsidR="00F53AB1" w:rsidRPr="00A85FEA" w:rsidRDefault="00F53AB1" w:rsidP="00A85FEA">
      <w:pPr>
        <w:jc w:val="both"/>
        <w:rPr>
          <w:rFonts w:cs="Arial"/>
          <w:szCs w:val="22"/>
        </w:rPr>
      </w:pPr>
      <w:r w:rsidRPr="00A85FEA">
        <w:rPr>
          <w:rFonts w:cs="Arial"/>
          <w:szCs w:val="22"/>
        </w:rPr>
        <w:t xml:space="preserve"> la naturaleza de los eventos que no impliquen ajuste, y</w:t>
      </w:r>
    </w:p>
    <w:p w14:paraId="22E69768" w14:textId="77777777" w:rsidR="00F53AB1" w:rsidRPr="00A85FEA" w:rsidRDefault="00F53AB1" w:rsidP="00A85FEA">
      <w:pPr>
        <w:jc w:val="both"/>
        <w:rPr>
          <w:rFonts w:cs="Arial"/>
          <w:szCs w:val="22"/>
        </w:rPr>
      </w:pPr>
      <w:r w:rsidRPr="00A85FEA">
        <w:rPr>
          <w:rFonts w:cs="Arial"/>
          <w:szCs w:val="22"/>
        </w:rPr>
        <w:t xml:space="preserve"> la estimación del efecto financiero de los eventos que no impliquen ajuste o la aclaración de que no es posible hacer tal estimación.</w:t>
      </w:r>
    </w:p>
    <w:p w14:paraId="034B2DB4" w14:textId="77777777" w:rsidR="00F53AB1" w:rsidRPr="00A85FEA" w:rsidRDefault="00F53AB1" w:rsidP="00A85FEA">
      <w:pPr>
        <w:pStyle w:val="Ttulo1"/>
        <w:jc w:val="center"/>
        <w:rPr>
          <w:rFonts w:ascii="Arial" w:hAnsi="Arial" w:cs="Arial"/>
          <w:color w:val="auto"/>
          <w:sz w:val="22"/>
          <w:szCs w:val="22"/>
        </w:rPr>
      </w:pPr>
      <w:bookmarkStart w:id="222" w:name="_Toc525721518"/>
      <w:r w:rsidRPr="00A85FEA">
        <w:rPr>
          <w:rFonts w:ascii="Arial" w:hAnsi="Arial" w:cs="Arial"/>
          <w:color w:val="auto"/>
          <w:sz w:val="22"/>
          <w:szCs w:val="22"/>
        </w:rPr>
        <w:t>CAPÍTULO I</w:t>
      </w:r>
      <w:r w:rsidR="00EF7988">
        <w:rPr>
          <w:rFonts w:ascii="Arial" w:hAnsi="Arial" w:cs="Arial"/>
          <w:color w:val="auto"/>
          <w:sz w:val="22"/>
          <w:szCs w:val="22"/>
        </w:rPr>
        <w:t>X</w:t>
      </w:r>
      <w:r w:rsidRPr="00A85FEA">
        <w:rPr>
          <w:rFonts w:ascii="Arial" w:hAnsi="Arial" w:cs="Arial"/>
          <w:color w:val="auto"/>
          <w:sz w:val="22"/>
          <w:szCs w:val="22"/>
        </w:rPr>
        <w:t>. INDICADORES FINANCIEROS</w:t>
      </w:r>
      <w:bookmarkEnd w:id="222"/>
    </w:p>
    <w:p w14:paraId="7624F95A" w14:textId="77777777" w:rsidR="00F53AB1" w:rsidRPr="00A85FEA" w:rsidRDefault="00F53AB1" w:rsidP="00A85FEA">
      <w:pPr>
        <w:pStyle w:val="Ttulo1"/>
        <w:rPr>
          <w:rFonts w:ascii="Arial" w:hAnsi="Arial" w:cs="Arial"/>
          <w:color w:val="auto"/>
          <w:sz w:val="22"/>
          <w:szCs w:val="22"/>
        </w:rPr>
      </w:pPr>
      <w:bookmarkStart w:id="223" w:name="_Toc525721519"/>
      <w:r w:rsidRPr="00A85FEA">
        <w:rPr>
          <w:rFonts w:ascii="Arial" w:hAnsi="Arial" w:cs="Arial"/>
          <w:color w:val="auto"/>
          <w:sz w:val="22"/>
          <w:szCs w:val="22"/>
        </w:rPr>
        <w:t>1. INDICADORES DE GESTIÓN FINANCIERA</w:t>
      </w:r>
      <w:bookmarkEnd w:id="223"/>
    </w:p>
    <w:p w14:paraId="037EDCED" w14:textId="77777777" w:rsidR="00F53AB1" w:rsidRPr="00A85FEA" w:rsidRDefault="00F53AB1" w:rsidP="00A85FEA">
      <w:pPr>
        <w:pStyle w:val="Ttulo1"/>
        <w:rPr>
          <w:rFonts w:ascii="Arial" w:hAnsi="Arial" w:cs="Arial"/>
          <w:color w:val="auto"/>
          <w:sz w:val="22"/>
          <w:szCs w:val="22"/>
        </w:rPr>
      </w:pPr>
      <w:bookmarkStart w:id="224" w:name="_Toc525721520"/>
      <w:r w:rsidRPr="00A85FEA">
        <w:rPr>
          <w:rFonts w:ascii="Arial" w:hAnsi="Arial" w:cs="Arial"/>
          <w:color w:val="auto"/>
          <w:sz w:val="22"/>
          <w:szCs w:val="22"/>
        </w:rPr>
        <w:t>1.1. Objetivo</w:t>
      </w:r>
      <w:bookmarkEnd w:id="224"/>
      <w:r w:rsidRPr="00A85FEA">
        <w:rPr>
          <w:rFonts w:ascii="Arial" w:hAnsi="Arial" w:cs="Arial"/>
          <w:color w:val="auto"/>
          <w:sz w:val="22"/>
          <w:szCs w:val="22"/>
        </w:rPr>
        <w:t xml:space="preserve"> </w:t>
      </w:r>
    </w:p>
    <w:p w14:paraId="34EE1171" w14:textId="77777777" w:rsidR="00F53AB1" w:rsidRPr="00A85FEA" w:rsidRDefault="00F53AB1" w:rsidP="00D87929">
      <w:pPr>
        <w:rPr>
          <w:rFonts w:cs="Arial"/>
          <w:szCs w:val="22"/>
        </w:rPr>
      </w:pPr>
    </w:p>
    <w:p w14:paraId="2C1FEF5F" w14:textId="77777777" w:rsidR="00F53AB1" w:rsidRPr="00A85FEA" w:rsidRDefault="00F53AB1" w:rsidP="00D87929">
      <w:pPr>
        <w:rPr>
          <w:rFonts w:cs="Arial"/>
          <w:szCs w:val="22"/>
        </w:rPr>
      </w:pPr>
      <w:r w:rsidRPr="00A85FEA">
        <w:rPr>
          <w:rFonts w:cs="Arial"/>
          <w:szCs w:val="22"/>
        </w:rPr>
        <w:t>Generar información útil a sus usuarios que permita identificar oportunamente las situaciones que afecten los activos, pasivos, resultados de la Entidad, y la gestión financiera de sus administradores</w:t>
      </w:r>
    </w:p>
    <w:p w14:paraId="602EE8C0" w14:textId="77777777" w:rsidR="00F53AB1" w:rsidRPr="00A85FEA" w:rsidRDefault="00F53AB1" w:rsidP="00A85FEA">
      <w:pPr>
        <w:pStyle w:val="Ttulo1"/>
        <w:rPr>
          <w:rFonts w:ascii="Arial" w:hAnsi="Arial" w:cs="Arial"/>
          <w:color w:val="auto"/>
          <w:sz w:val="22"/>
          <w:szCs w:val="22"/>
        </w:rPr>
      </w:pPr>
      <w:bookmarkStart w:id="225" w:name="_Toc525721521"/>
      <w:r w:rsidRPr="00A85FEA">
        <w:rPr>
          <w:rFonts w:ascii="Arial" w:hAnsi="Arial" w:cs="Arial"/>
          <w:color w:val="auto"/>
          <w:sz w:val="22"/>
          <w:szCs w:val="22"/>
        </w:rPr>
        <w:t>1.2. Normatividad relacionada</w:t>
      </w:r>
      <w:bookmarkEnd w:id="225"/>
    </w:p>
    <w:p w14:paraId="02A3F468" w14:textId="77777777" w:rsidR="00F53AB1" w:rsidRPr="00A85FEA" w:rsidRDefault="00F53AB1" w:rsidP="00D87929">
      <w:pPr>
        <w:rPr>
          <w:rFonts w:cs="Arial"/>
          <w:szCs w:val="22"/>
        </w:rPr>
      </w:pPr>
    </w:p>
    <w:p w14:paraId="66E3E769" w14:textId="77777777" w:rsidR="00F53AB1" w:rsidRPr="00A85FEA" w:rsidRDefault="00F53AB1" w:rsidP="00D87929">
      <w:pPr>
        <w:rPr>
          <w:rFonts w:cs="Arial"/>
          <w:szCs w:val="22"/>
        </w:rPr>
      </w:pPr>
      <w:r w:rsidRPr="00A85FEA">
        <w:rPr>
          <w:rFonts w:cs="Arial"/>
          <w:szCs w:val="22"/>
        </w:rPr>
        <w:t>Indicadores financieros</w:t>
      </w:r>
    </w:p>
    <w:p w14:paraId="503198BD" w14:textId="77777777" w:rsidR="00F53AB1" w:rsidRPr="00A85FEA" w:rsidRDefault="00F53AB1" w:rsidP="00A85FEA">
      <w:pPr>
        <w:pStyle w:val="Ttulo1"/>
        <w:rPr>
          <w:rFonts w:ascii="Arial" w:hAnsi="Arial" w:cs="Arial"/>
          <w:color w:val="auto"/>
          <w:sz w:val="22"/>
          <w:szCs w:val="22"/>
        </w:rPr>
      </w:pPr>
      <w:bookmarkStart w:id="226" w:name="_Toc525721522"/>
      <w:r w:rsidRPr="00A85FEA">
        <w:rPr>
          <w:rFonts w:ascii="Arial" w:hAnsi="Arial" w:cs="Arial"/>
          <w:color w:val="auto"/>
          <w:sz w:val="22"/>
          <w:szCs w:val="22"/>
        </w:rPr>
        <w:t>1.3. Alcance</w:t>
      </w:r>
      <w:bookmarkEnd w:id="226"/>
    </w:p>
    <w:p w14:paraId="19BD633A" w14:textId="77777777" w:rsidR="00F53AB1" w:rsidRPr="00A85FEA" w:rsidRDefault="00F53AB1" w:rsidP="00D87929">
      <w:pPr>
        <w:rPr>
          <w:rFonts w:cs="Arial"/>
          <w:szCs w:val="22"/>
        </w:rPr>
      </w:pPr>
    </w:p>
    <w:p w14:paraId="11947660" w14:textId="77777777" w:rsidR="00F53AB1" w:rsidRPr="00A85FEA" w:rsidRDefault="00F53AB1" w:rsidP="00D87929">
      <w:pPr>
        <w:rPr>
          <w:rFonts w:cs="Arial"/>
          <w:szCs w:val="22"/>
        </w:rPr>
      </w:pPr>
      <w:r w:rsidRPr="00A85FEA">
        <w:rPr>
          <w:rFonts w:cs="Arial"/>
          <w:szCs w:val="22"/>
        </w:rPr>
        <w:t>Indicadores de gestión financieros para la Corporación para el Desarrollo Sostenible del Norte y el Oriente Amazónico – CDA.</w:t>
      </w:r>
    </w:p>
    <w:p w14:paraId="078DED3C" w14:textId="77777777" w:rsidR="00F53AB1" w:rsidRPr="00A85FEA" w:rsidRDefault="00F53AB1" w:rsidP="00A85FEA">
      <w:pPr>
        <w:pStyle w:val="Ttulo1"/>
        <w:rPr>
          <w:rFonts w:ascii="Arial" w:hAnsi="Arial" w:cs="Arial"/>
          <w:color w:val="auto"/>
          <w:sz w:val="22"/>
          <w:szCs w:val="22"/>
        </w:rPr>
      </w:pPr>
      <w:bookmarkStart w:id="227" w:name="_Toc525721523"/>
      <w:r w:rsidRPr="00A85FEA">
        <w:rPr>
          <w:rFonts w:ascii="Arial" w:hAnsi="Arial" w:cs="Arial"/>
          <w:color w:val="auto"/>
          <w:sz w:val="22"/>
          <w:szCs w:val="22"/>
        </w:rPr>
        <w:t>1.4. Política contable general</w:t>
      </w:r>
      <w:bookmarkEnd w:id="227"/>
    </w:p>
    <w:p w14:paraId="6AD2DEA7" w14:textId="77777777" w:rsidR="00F53AB1" w:rsidRPr="00A85FEA" w:rsidRDefault="00F53AB1" w:rsidP="00D87929">
      <w:pPr>
        <w:rPr>
          <w:rFonts w:cs="Arial"/>
          <w:szCs w:val="22"/>
        </w:rPr>
      </w:pPr>
    </w:p>
    <w:p w14:paraId="36B48DED" w14:textId="77777777" w:rsidR="00F53AB1" w:rsidRPr="00A85FEA" w:rsidRDefault="00F53AB1" w:rsidP="00D87929">
      <w:pPr>
        <w:rPr>
          <w:rFonts w:cs="Arial"/>
          <w:szCs w:val="22"/>
        </w:rPr>
      </w:pPr>
      <w:r w:rsidRPr="00A85FEA">
        <w:rPr>
          <w:rFonts w:cs="Arial"/>
          <w:szCs w:val="22"/>
        </w:rPr>
        <w:t>La Corporación para el Desarrollo Sostenible del Norte y el Oriente Amazónico – CDA define los indicadores de gestión financiera que permiten realizar seguimiento a la gestión Financiera, Económica, Social y Ambiental.</w:t>
      </w:r>
    </w:p>
    <w:p w14:paraId="47B58E3F" w14:textId="77777777" w:rsidR="00F53AB1" w:rsidRPr="00A85FEA" w:rsidRDefault="00F53AB1" w:rsidP="00A85FEA">
      <w:pPr>
        <w:pStyle w:val="Ttulo1"/>
        <w:rPr>
          <w:rFonts w:ascii="Arial" w:hAnsi="Arial" w:cs="Arial"/>
          <w:color w:val="auto"/>
          <w:sz w:val="22"/>
          <w:szCs w:val="22"/>
        </w:rPr>
      </w:pPr>
      <w:bookmarkStart w:id="228" w:name="_Toc525721524"/>
      <w:r w:rsidRPr="00A85FEA">
        <w:rPr>
          <w:rFonts w:ascii="Arial" w:hAnsi="Arial" w:cs="Arial"/>
          <w:color w:val="auto"/>
          <w:sz w:val="22"/>
          <w:szCs w:val="22"/>
        </w:rPr>
        <w:t>1.5. Indicadores de gestión financiera</w:t>
      </w:r>
      <w:bookmarkEnd w:id="228"/>
    </w:p>
    <w:p w14:paraId="1B1ED5DD" w14:textId="77777777" w:rsidR="00F53AB1" w:rsidRPr="00A85FEA" w:rsidRDefault="00F53AB1" w:rsidP="00D87929">
      <w:pPr>
        <w:rPr>
          <w:rFonts w:cs="Arial"/>
          <w:szCs w:val="22"/>
        </w:rPr>
      </w:pPr>
    </w:p>
    <w:p w14:paraId="08FF4400" w14:textId="77777777" w:rsidR="00F53AB1" w:rsidRPr="00A85FEA" w:rsidRDefault="00F53AB1" w:rsidP="00D87929">
      <w:pPr>
        <w:rPr>
          <w:rFonts w:cs="Arial"/>
          <w:szCs w:val="22"/>
        </w:rPr>
      </w:pPr>
      <w:r w:rsidRPr="00A85FEA">
        <w:rPr>
          <w:rFonts w:cs="Arial"/>
          <w:bCs/>
          <w:szCs w:val="22"/>
        </w:rPr>
        <w:t xml:space="preserve">1.5.1. Endeudamiento total </w:t>
      </w:r>
    </w:p>
    <w:p w14:paraId="43E056C4" w14:textId="77777777" w:rsidR="00F53AB1" w:rsidRPr="00A85FEA" w:rsidRDefault="00F53AB1" w:rsidP="00D87929">
      <w:pPr>
        <w:rPr>
          <w:rFonts w:cs="Arial"/>
          <w:szCs w:val="22"/>
        </w:rPr>
      </w:pPr>
    </w:p>
    <w:p w14:paraId="106D81D6" w14:textId="77777777" w:rsidR="00F53AB1" w:rsidRPr="00A85FEA" w:rsidRDefault="00F53AB1" w:rsidP="00D87929">
      <w:pPr>
        <w:rPr>
          <w:rFonts w:cs="Arial"/>
          <w:szCs w:val="22"/>
        </w:rPr>
      </w:pPr>
      <w:r w:rsidRPr="00A85FEA">
        <w:rPr>
          <w:rFonts w:cs="Arial"/>
          <w:szCs w:val="22"/>
        </w:rPr>
        <w:lastRenderedPageBreak/>
        <w:t xml:space="preserve">Refleja la parte de los recursos que la Corporación para el Desarrollo Sostenible del Norte y el Oriente Amazónico – CDA adeuda a terceros en comparación con sus activos totales en una fecha determinada. </w:t>
      </w:r>
    </w:p>
    <w:p w14:paraId="541AA00B" w14:textId="77777777" w:rsidR="00F53AB1" w:rsidRPr="00A85FEA" w:rsidRDefault="00F53AB1" w:rsidP="00D87929">
      <w:pPr>
        <w:rPr>
          <w:rFonts w:cs="Arial"/>
          <w:szCs w:val="22"/>
        </w:rPr>
      </w:pPr>
      <w:r w:rsidRPr="00A85FEA">
        <w:rPr>
          <w:rFonts w:cs="Arial"/>
          <w:szCs w:val="22"/>
        </w:rPr>
        <w:t xml:space="preserve"> </w:t>
      </w:r>
    </w:p>
    <w:p w14:paraId="1C7AB3C5" w14:textId="77777777" w:rsidR="00F53AB1" w:rsidRPr="00A85FEA" w:rsidRDefault="00F53AB1" w:rsidP="00D87929">
      <w:pPr>
        <w:rPr>
          <w:rFonts w:cs="Arial"/>
          <w:szCs w:val="22"/>
        </w:rPr>
      </w:pPr>
      <w:r w:rsidRPr="00A85FEA">
        <w:rPr>
          <w:rFonts w:cs="Arial"/>
          <w:szCs w:val="22"/>
        </w:rPr>
        <w:t>Formula:</w:t>
      </w:r>
    </w:p>
    <w:p w14:paraId="2A4F4404" w14:textId="77777777" w:rsidR="00F53AB1" w:rsidRPr="00A85FEA" w:rsidRDefault="00F53AB1" w:rsidP="00D87929">
      <w:pPr>
        <w:rPr>
          <w:rFonts w:cs="Arial"/>
          <w:szCs w:val="22"/>
        </w:rPr>
      </w:pPr>
      <w:r w:rsidRPr="00A85FEA">
        <w:rPr>
          <w:rFonts w:cs="Arial"/>
          <w:szCs w:val="22"/>
        </w:rPr>
        <w:t xml:space="preserve">  </w:t>
      </w:r>
    </w:p>
    <w:p w14:paraId="3DF110D0" w14:textId="77777777" w:rsidR="00F53AB1" w:rsidRPr="00A85FEA" w:rsidRDefault="00F53AB1" w:rsidP="00D87929">
      <w:pPr>
        <w:rPr>
          <w:rFonts w:cs="Arial"/>
          <w:szCs w:val="22"/>
          <w:u w:val="single"/>
        </w:rPr>
      </w:pPr>
      <w:r w:rsidRPr="00A85FEA">
        <w:rPr>
          <w:rFonts w:cs="Arial"/>
          <w:szCs w:val="22"/>
          <w:u w:val="single"/>
        </w:rPr>
        <w:t xml:space="preserve">Pasivo Total </w:t>
      </w:r>
    </w:p>
    <w:p w14:paraId="641EE0B7" w14:textId="77777777" w:rsidR="00F53AB1" w:rsidRPr="00A85FEA" w:rsidRDefault="00F53AB1" w:rsidP="00D87929">
      <w:pPr>
        <w:rPr>
          <w:rFonts w:cs="Arial"/>
          <w:szCs w:val="22"/>
        </w:rPr>
      </w:pPr>
      <w:r w:rsidRPr="00A85FEA">
        <w:rPr>
          <w:rFonts w:cs="Arial"/>
          <w:szCs w:val="22"/>
        </w:rPr>
        <w:t xml:space="preserve">Activo Total </w:t>
      </w:r>
    </w:p>
    <w:p w14:paraId="0F9FAE91" w14:textId="77777777" w:rsidR="00F53AB1" w:rsidRPr="00A85FEA" w:rsidRDefault="00F53AB1" w:rsidP="00D87929">
      <w:pPr>
        <w:rPr>
          <w:rFonts w:cs="Arial"/>
          <w:szCs w:val="22"/>
        </w:rPr>
      </w:pPr>
    </w:p>
    <w:p w14:paraId="7BF89B3B" w14:textId="77777777" w:rsidR="00F53AB1" w:rsidRPr="00A85FEA" w:rsidRDefault="00F53AB1" w:rsidP="00D87929">
      <w:pPr>
        <w:rPr>
          <w:rFonts w:cs="Arial"/>
          <w:szCs w:val="22"/>
        </w:rPr>
      </w:pPr>
      <w:r w:rsidRPr="00A85FEA">
        <w:rPr>
          <w:rFonts w:cs="Arial"/>
          <w:szCs w:val="22"/>
        </w:rPr>
        <w:t>Su medición será en términos porcentuales y se considera un nivel aceptable cuando este sea igual o menor al 30%.</w:t>
      </w:r>
    </w:p>
    <w:p w14:paraId="0B682D3C" w14:textId="77777777" w:rsidR="00F53AB1" w:rsidRPr="00A85FEA" w:rsidRDefault="00F53AB1" w:rsidP="00D87929">
      <w:pPr>
        <w:rPr>
          <w:rFonts w:cs="Arial"/>
          <w:szCs w:val="22"/>
        </w:rPr>
      </w:pPr>
    </w:p>
    <w:p w14:paraId="369C0195" w14:textId="77777777" w:rsidR="00F53AB1" w:rsidRPr="00A85FEA" w:rsidRDefault="00F53AB1" w:rsidP="00D87929">
      <w:pPr>
        <w:rPr>
          <w:rFonts w:cs="Arial"/>
          <w:szCs w:val="22"/>
        </w:rPr>
      </w:pPr>
      <w:r w:rsidRPr="00A85FEA">
        <w:rPr>
          <w:rFonts w:cs="Arial"/>
          <w:szCs w:val="22"/>
        </w:rPr>
        <w:t xml:space="preserve">1.5.2. </w:t>
      </w:r>
      <w:r w:rsidRPr="00A85FEA">
        <w:rPr>
          <w:rFonts w:cs="Arial"/>
          <w:bCs/>
          <w:szCs w:val="22"/>
        </w:rPr>
        <w:t xml:space="preserve">Liquidez </w:t>
      </w:r>
    </w:p>
    <w:p w14:paraId="19F5801B" w14:textId="77777777" w:rsidR="00F53AB1" w:rsidRPr="00A85FEA" w:rsidRDefault="00F53AB1" w:rsidP="00D87929">
      <w:pPr>
        <w:rPr>
          <w:rFonts w:cs="Arial"/>
          <w:szCs w:val="22"/>
        </w:rPr>
      </w:pPr>
    </w:p>
    <w:p w14:paraId="7A405084" w14:textId="77777777" w:rsidR="00F53AB1" w:rsidRPr="00A85FEA" w:rsidRDefault="00F53AB1" w:rsidP="00D87929">
      <w:pPr>
        <w:rPr>
          <w:rFonts w:cs="Arial"/>
          <w:szCs w:val="22"/>
        </w:rPr>
      </w:pPr>
      <w:r w:rsidRPr="00A85FEA">
        <w:rPr>
          <w:rFonts w:cs="Arial"/>
          <w:szCs w:val="22"/>
        </w:rPr>
        <w:t>Mide la capacidad de la Corporación para el Desarrollo Sostenible del Norte y el Oriente Amazónico – CDA para cubrir sus obligaciones de corto plazo, con sus activos realizables en el corto plazo.</w:t>
      </w:r>
    </w:p>
    <w:p w14:paraId="105DC773" w14:textId="77777777" w:rsidR="00F53AB1" w:rsidRPr="00A85FEA" w:rsidRDefault="00F53AB1" w:rsidP="00D87929">
      <w:pPr>
        <w:rPr>
          <w:rFonts w:cs="Arial"/>
          <w:szCs w:val="22"/>
        </w:rPr>
      </w:pPr>
    </w:p>
    <w:p w14:paraId="78B9450A" w14:textId="77777777" w:rsidR="00F53AB1" w:rsidRPr="00A85FEA" w:rsidRDefault="00F53AB1" w:rsidP="00D87929">
      <w:pPr>
        <w:rPr>
          <w:rFonts w:cs="Arial"/>
          <w:szCs w:val="22"/>
        </w:rPr>
      </w:pPr>
      <w:r w:rsidRPr="00A85FEA">
        <w:rPr>
          <w:rFonts w:cs="Arial"/>
          <w:szCs w:val="22"/>
        </w:rPr>
        <w:t xml:space="preserve">Formula </w:t>
      </w:r>
    </w:p>
    <w:p w14:paraId="769A8EA9" w14:textId="77777777" w:rsidR="00F53AB1" w:rsidRPr="00A85FEA" w:rsidRDefault="00F53AB1" w:rsidP="00D87929">
      <w:pPr>
        <w:rPr>
          <w:rFonts w:cs="Arial"/>
          <w:szCs w:val="22"/>
        </w:rPr>
      </w:pPr>
    </w:p>
    <w:p w14:paraId="225FD751" w14:textId="77777777" w:rsidR="00F53AB1" w:rsidRPr="00A85FEA" w:rsidRDefault="00F53AB1" w:rsidP="00D87929">
      <w:pPr>
        <w:rPr>
          <w:rFonts w:cs="Arial"/>
          <w:szCs w:val="22"/>
          <w:u w:val="single"/>
        </w:rPr>
      </w:pPr>
      <w:r w:rsidRPr="00A85FEA">
        <w:rPr>
          <w:rFonts w:cs="Arial"/>
          <w:szCs w:val="22"/>
          <w:u w:val="single"/>
        </w:rPr>
        <w:t xml:space="preserve">Activo Corriente  </w:t>
      </w:r>
    </w:p>
    <w:p w14:paraId="51D403E2" w14:textId="77777777" w:rsidR="00F53AB1" w:rsidRPr="00A85FEA" w:rsidRDefault="00F53AB1" w:rsidP="00D87929">
      <w:pPr>
        <w:rPr>
          <w:rFonts w:cs="Arial"/>
          <w:szCs w:val="22"/>
        </w:rPr>
      </w:pPr>
      <w:r w:rsidRPr="00A85FEA">
        <w:rPr>
          <w:rFonts w:cs="Arial"/>
          <w:szCs w:val="22"/>
        </w:rPr>
        <w:t>Pasivo Corriente</w:t>
      </w:r>
    </w:p>
    <w:p w14:paraId="4DA5DD8D" w14:textId="77777777" w:rsidR="00F53AB1" w:rsidRPr="00A85FEA" w:rsidRDefault="00F53AB1" w:rsidP="00D87929">
      <w:pPr>
        <w:rPr>
          <w:rFonts w:cs="Arial"/>
          <w:szCs w:val="22"/>
        </w:rPr>
      </w:pPr>
    </w:p>
    <w:p w14:paraId="6F314C00" w14:textId="77777777" w:rsidR="00F53AB1" w:rsidRPr="00A85FEA" w:rsidRDefault="00F53AB1" w:rsidP="00D87929">
      <w:pPr>
        <w:rPr>
          <w:rFonts w:cs="Arial"/>
          <w:bCs/>
          <w:szCs w:val="22"/>
        </w:rPr>
      </w:pPr>
      <w:r w:rsidRPr="00A85FEA">
        <w:rPr>
          <w:rFonts w:cs="Arial"/>
          <w:szCs w:val="22"/>
        </w:rPr>
        <w:t xml:space="preserve">1.5.3. </w:t>
      </w:r>
      <w:r w:rsidRPr="00A85FEA">
        <w:rPr>
          <w:rFonts w:cs="Arial"/>
          <w:bCs/>
          <w:szCs w:val="22"/>
        </w:rPr>
        <w:t>Variación de cuentas por cobrar</w:t>
      </w:r>
    </w:p>
    <w:p w14:paraId="513D9DC6" w14:textId="77777777" w:rsidR="00F53AB1" w:rsidRPr="00A85FEA" w:rsidRDefault="00F53AB1" w:rsidP="00D87929">
      <w:pPr>
        <w:rPr>
          <w:rFonts w:cs="Arial"/>
          <w:bCs/>
          <w:szCs w:val="22"/>
        </w:rPr>
      </w:pPr>
    </w:p>
    <w:p w14:paraId="43DAA5D9" w14:textId="77777777" w:rsidR="00F53AB1" w:rsidRPr="00A85FEA" w:rsidRDefault="00F53AB1" w:rsidP="00D87929">
      <w:pPr>
        <w:rPr>
          <w:rFonts w:cs="Arial"/>
          <w:szCs w:val="22"/>
        </w:rPr>
      </w:pPr>
      <w:r w:rsidRPr="00A85FEA">
        <w:rPr>
          <w:rFonts w:cs="Arial"/>
          <w:szCs w:val="22"/>
        </w:rPr>
        <w:t>Las cuentas por cobrar son un factor sensible dentro de los activos de la Corporación para el Desarrollo Sostenible del Norte y el Oriente Amazónico – CDA, debido a su composición de cuantías inmateriales haciendo la gestión de cobro y costoso su recaudo.</w:t>
      </w:r>
    </w:p>
    <w:p w14:paraId="36194568" w14:textId="77777777" w:rsidR="00F53AB1" w:rsidRPr="00A85FEA" w:rsidRDefault="00F53AB1" w:rsidP="00D87929">
      <w:pPr>
        <w:rPr>
          <w:rFonts w:cs="Arial"/>
          <w:szCs w:val="22"/>
        </w:rPr>
      </w:pPr>
    </w:p>
    <w:p w14:paraId="02887CE1" w14:textId="77777777" w:rsidR="00F53AB1" w:rsidRPr="00A85FEA" w:rsidRDefault="00F53AB1" w:rsidP="00D87929">
      <w:pPr>
        <w:rPr>
          <w:rFonts w:cs="Arial"/>
          <w:bCs/>
          <w:szCs w:val="22"/>
        </w:rPr>
      </w:pPr>
      <w:r w:rsidRPr="00A85FEA">
        <w:rPr>
          <w:rFonts w:cs="Arial"/>
          <w:szCs w:val="22"/>
        </w:rPr>
        <w:t>Formula:</w:t>
      </w:r>
    </w:p>
    <w:p w14:paraId="492B6BE6" w14:textId="77777777" w:rsidR="00F53AB1" w:rsidRPr="00A85FEA" w:rsidRDefault="00F53AB1" w:rsidP="00D87929">
      <w:pPr>
        <w:rPr>
          <w:rFonts w:cs="Arial"/>
          <w:bCs/>
          <w:szCs w:val="22"/>
        </w:rPr>
      </w:pPr>
    </w:p>
    <w:p w14:paraId="21D73E2F" w14:textId="77777777" w:rsidR="00F53AB1" w:rsidRPr="00A85FEA" w:rsidRDefault="00F53AB1" w:rsidP="00D87929">
      <w:pPr>
        <w:rPr>
          <w:rFonts w:cs="Arial"/>
          <w:szCs w:val="22"/>
          <w:u w:val="single"/>
        </w:rPr>
      </w:pPr>
      <w:r w:rsidRPr="00A85FEA">
        <w:rPr>
          <w:rFonts w:cs="Arial"/>
          <w:szCs w:val="22"/>
          <w:u w:val="single"/>
        </w:rPr>
        <w:t xml:space="preserve">(Cuentas por cobrar al inicio del periodo – Cuentas por cobrar al final del periodo) </w:t>
      </w:r>
    </w:p>
    <w:p w14:paraId="59796392" w14:textId="77777777" w:rsidR="00F53AB1" w:rsidRPr="00A85FEA" w:rsidRDefault="00F53AB1" w:rsidP="00D87929">
      <w:pPr>
        <w:rPr>
          <w:rFonts w:cs="Arial"/>
          <w:szCs w:val="22"/>
        </w:rPr>
      </w:pPr>
      <w:r w:rsidRPr="00A85FEA">
        <w:rPr>
          <w:rFonts w:cs="Arial"/>
          <w:szCs w:val="22"/>
        </w:rPr>
        <w:t xml:space="preserve">                                 Cuentas por cobrar al inicio del periodo </w:t>
      </w:r>
    </w:p>
    <w:p w14:paraId="20EDB15B" w14:textId="77777777" w:rsidR="00F53AB1" w:rsidRPr="00A85FEA" w:rsidRDefault="00F53AB1" w:rsidP="00D87929">
      <w:pPr>
        <w:rPr>
          <w:rFonts w:cs="Arial"/>
          <w:szCs w:val="22"/>
        </w:rPr>
      </w:pPr>
    </w:p>
    <w:p w14:paraId="59B9B750" w14:textId="77777777" w:rsidR="00F53AB1" w:rsidRPr="00A85FEA" w:rsidRDefault="00F53AB1" w:rsidP="00D87929">
      <w:pPr>
        <w:rPr>
          <w:rFonts w:cs="Arial"/>
          <w:szCs w:val="22"/>
        </w:rPr>
      </w:pPr>
      <w:r w:rsidRPr="00A85FEA">
        <w:rPr>
          <w:rFonts w:cs="Arial"/>
          <w:szCs w:val="22"/>
        </w:rPr>
        <w:t xml:space="preserve">Un resultado superior a cero es positivo </w:t>
      </w:r>
    </w:p>
    <w:p w14:paraId="44BA6E4D" w14:textId="77777777" w:rsidR="00F53AB1" w:rsidRPr="00A85FEA" w:rsidRDefault="00F53AB1" w:rsidP="00D87929">
      <w:pPr>
        <w:rPr>
          <w:rFonts w:cs="Arial"/>
          <w:szCs w:val="22"/>
        </w:rPr>
      </w:pPr>
    </w:p>
    <w:p w14:paraId="3F264B93" w14:textId="77777777" w:rsidR="00F53AB1" w:rsidRPr="00A85FEA" w:rsidRDefault="00F53AB1" w:rsidP="00D87929">
      <w:pPr>
        <w:rPr>
          <w:rFonts w:cs="Arial"/>
          <w:szCs w:val="22"/>
        </w:rPr>
      </w:pPr>
    </w:p>
    <w:p w14:paraId="3B2E2ACF" w14:textId="77777777" w:rsidR="00F53AB1" w:rsidRPr="00A85FEA" w:rsidRDefault="00F53AB1" w:rsidP="00D87929">
      <w:pPr>
        <w:rPr>
          <w:rFonts w:cs="Arial"/>
          <w:bCs/>
          <w:szCs w:val="22"/>
        </w:rPr>
      </w:pPr>
      <w:r w:rsidRPr="00A85FEA">
        <w:rPr>
          <w:rFonts w:cs="Arial"/>
          <w:szCs w:val="22"/>
        </w:rPr>
        <w:t xml:space="preserve">1.5.4. Variación de las </w:t>
      </w:r>
      <w:r w:rsidRPr="00A85FEA">
        <w:rPr>
          <w:rFonts w:cs="Arial"/>
          <w:bCs/>
          <w:szCs w:val="22"/>
        </w:rPr>
        <w:t>propiedades, planta y equipo</w:t>
      </w:r>
    </w:p>
    <w:p w14:paraId="752D09F5" w14:textId="77777777" w:rsidR="00F53AB1" w:rsidRPr="00A85FEA" w:rsidRDefault="00F53AB1" w:rsidP="00D87929">
      <w:pPr>
        <w:rPr>
          <w:rFonts w:cs="Arial"/>
          <w:bCs/>
          <w:szCs w:val="22"/>
        </w:rPr>
      </w:pPr>
    </w:p>
    <w:p w14:paraId="5BE3F623" w14:textId="77777777" w:rsidR="00F53AB1" w:rsidRPr="00A85FEA" w:rsidRDefault="00F53AB1" w:rsidP="003D12D1">
      <w:pPr>
        <w:jc w:val="both"/>
        <w:rPr>
          <w:rFonts w:cs="Arial"/>
          <w:szCs w:val="22"/>
        </w:rPr>
      </w:pPr>
      <w:r w:rsidRPr="00A85FEA">
        <w:rPr>
          <w:rFonts w:cs="Arial"/>
          <w:szCs w:val="22"/>
        </w:rPr>
        <w:t>Este indicador muestra la variación de las propiedades, planta y equipo con relación a la variación de los ingresos.  De las propiedades, planta y equipo se excluye la depreciación acumulada y el deterioro acumulado de valor, con el fin de reflejar la correlación de esta con los ingresos sin contraprestación generados en el período contable.</w:t>
      </w:r>
    </w:p>
    <w:p w14:paraId="5366798D" w14:textId="77777777" w:rsidR="00F53AB1" w:rsidRPr="00A85FEA" w:rsidRDefault="00F53AB1" w:rsidP="00D87929">
      <w:pPr>
        <w:rPr>
          <w:rFonts w:cs="Arial"/>
          <w:szCs w:val="22"/>
        </w:rPr>
      </w:pPr>
    </w:p>
    <w:p w14:paraId="1D51F216" w14:textId="77777777" w:rsidR="00F53AB1" w:rsidRPr="00A85FEA" w:rsidRDefault="00F53AB1" w:rsidP="00D87929">
      <w:pPr>
        <w:rPr>
          <w:rFonts w:cs="Arial"/>
          <w:szCs w:val="22"/>
        </w:rPr>
      </w:pPr>
      <w:r w:rsidRPr="00A85FEA">
        <w:rPr>
          <w:rFonts w:cs="Arial"/>
          <w:szCs w:val="22"/>
        </w:rPr>
        <w:t>Fórmula:</w:t>
      </w:r>
    </w:p>
    <w:p w14:paraId="6BC103FD" w14:textId="77777777" w:rsidR="00F53AB1" w:rsidRPr="00A85FEA" w:rsidRDefault="00F53AB1" w:rsidP="00D87929">
      <w:pPr>
        <w:rPr>
          <w:rFonts w:cs="Arial"/>
          <w:szCs w:val="22"/>
        </w:rPr>
      </w:pPr>
    </w:p>
    <w:p w14:paraId="66C3047B" w14:textId="77777777" w:rsidR="00F53AB1" w:rsidRPr="00A85FEA" w:rsidRDefault="00F53AB1" w:rsidP="00D87929">
      <w:pPr>
        <w:rPr>
          <w:rFonts w:cs="Arial"/>
          <w:szCs w:val="22"/>
          <w:u w:val="single"/>
        </w:rPr>
      </w:pPr>
      <w:r w:rsidRPr="00A85FEA">
        <w:rPr>
          <w:rFonts w:cs="Arial"/>
          <w:szCs w:val="22"/>
          <w:u w:val="single"/>
        </w:rPr>
        <w:t xml:space="preserve">(PPYE Final) - (PPYE Inicial) </w:t>
      </w:r>
    </w:p>
    <w:p w14:paraId="628FE163" w14:textId="77777777" w:rsidR="00F53AB1" w:rsidRPr="00A85FEA" w:rsidRDefault="00F53AB1" w:rsidP="00D87929">
      <w:pPr>
        <w:rPr>
          <w:rFonts w:cs="Arial"/>
          <w:bCs/>
          <w:szCs w:val="22"/>
        </w:rPr>
      </w:pPr>
      <w:r w:rsidRPr="00A85FEA">
        <w:rPr>
          <w:rFonts w:cs="Arial"/>
          <w:szCs w:val="22"/>
        </w:rPr>
        <w:t xml:space="preserve">     ISC del período</w:t>
      </w:r>
    </w:p>
    <w:p w14:paraId="44C672B9" w14:textId="77777777" w:rsidR="00F53AB1" w:rsidRPr="00A85FEA" w:rsidRDefault="00F53AB1" w:rsidP="00D87929">
      <w:pPr>
        <w:rPr>
          <w:rFonts w:cs="Arial"/>
          <w:bCs/>
          <w:szCs w:val="22"/>
        </w:rPr>
      </w:pPr>
    </w:p>
    <w:p w14:paraId="0C2C024B" w14:textId="77777777" w:rsidR="00F53AB1" w:rsidRPr="00A85FEA" w:rsidRDefault="00F53AB1" w:rsidP="00D87929">
      <w:pPr>
        <w:rPr>
          <w:rFonts w:cs="Arial"/>
          <w:bCs/>
          <w:szCs w:val="22"/>
        </w:rPr>
      </w:pPr>
      <w:r w:rsidRPr="00A85FEA">
        <w:rPr>
          <w:rFonts w:cs="Arial"/>
          <w:bCs/>
          <w:szCs w:val="22"/>
        </w:rPr>
        <w:t>El resultado será de seguimiento para los periodos siguientes.</w:t>
      </w:r>
    </w:p>
    <w:p w14:paraId="0F60BDFB" w14:textId="77777777" w:rsidR="00F53AB1" w:rsidRPr="00A85FEA" w:rsidRDefault="00F53AB1" w:rsidP="00D87929">
      <w:pPr>
        <w:rPr>
          <w:rFonts w:cs="Arial"/>
          <w:bCs/>
          <w:szCs w:val="22"/>
        </w:rPr>
      </w:pPr>
    </w:p>
    <w:p w14:paraId="0D650BA5" w14:textId="77777777" w:rsidR="00F53AB1" w:rsidRPr="00A85FEA" w:rsidRDefault="00F53AB1" w:rsidP="00A85FEA">
      <w:pPr>
        <w:pStyle w:val="Ttulo1"/>
        <w:rPr>
          <w:rFonts w:ascii="Arial" w:hAnsi="Arial" w:cs="Arial"/>
          <w:color w:val="auto"/>
          <w:sz w:val="22"/>
          <w:szCs w:val="22"/>
        </w:rPr>
      </w:pPr>
      <w:bookmarkStart w:id="229" w:name="_Toc525721525"/>
      <w:r w:rsidRPr="00A85FEA">
        <w:rPr>
          <w:rFonts w:ascii="Arial" w:hAnsi="Arial" w:cs="Arial"/>
          <w:color w:val="auto"/>
          <w:sz w:val="22"/>
          <w:szCs w:val="22"/>
        </w:rPr>
        <w:t>CONTROL DE CAMBIOS</w:t>
      </w:r>
      <w:bookmarkEnd w:id="229"/>
    </w:p>
    <w:p w14:paraId="787C7B06" w14:textId="77777777" w:rsidR="00F53AB1" w:rsidRPr="00A85FEA" w:rsidRDefault="00F53AB1" w:rsidP="00D87929">
      <w:pPr>
        <w:rPr>
          <w:rFonts w:cs="Arial"/>
          <w:bCs/>
          <w:szCs w:val="22"/>
        </w:rPr>
      </w:pPr>
    </w:p>
    <w:tbl>
      <w:tblPr>
        <w:tblStyle w:val="Tablaconcuadrcula"/>
        <w:tblW w:w="9288" w:type="dxa"/>
        <w:tblLayout w:type="fixed"/>
        <w:tblLook w:val="04A0" w:firstRow="1" w:lastRow="0" w:firstColumn="1" w:lastColumn="0" w:noHBand="0" w:noVBand="1"/>
      </w:tblPr>
      <w:tblGrid>
        <w:gridCol w:w="1188"/>
        <w:gridCol w:w="1980"/>
        <w:gridCol w:w="6120"/>
      </w:tblGrid>
      <w:tr w:rsidR="00F53AB1" w:rsidRPr="00A85FEA" w14:paraId="460854A4" w14:textId="77777777" w:rsidTr="003A339B">
        <w:tc>
          <w:tcPr>
            <w:tcW w:w="9288" w:type="dxa"/>
            <w:gridSpan w:val="3"/>
            <w:shd w:val="clear" w:color="auto" w:fill="C2D69B" w:themeFill="accent3" w:themeFillTint="99"/>
          </w:tcPr>
          <w:p w14:paraId="5A889D53" w14:textId="77777777" w:rsidR="00F53AB1" w:rsidRPr="00A85FEA" w:rsidRDefault="00F53AB1" w:rsidP="00D87929">
            <w:pPr>
              <w:rPr>
                <w:rFonts w:eastAsiaTheme="majorEastAsia" w:cs="Arial"/>
                <w:szCs w:val="22"/>
              </w:rPr>
            </w:pPr>
            <w:r w:rsidRPr="00A85FEA">
              <w:rPr>
                <w:rFonts w:eastAsiaTheme="majorEastAsia" w:cs="Arial"/>
                <w:szCs w:val="22"/>
              </w:rPr>
              <w:t>CONTROL DE CAMBIOS</w:t>
            </w:r>
          </w:p>
        </w:tc>
      </w:tr>
      <w:tr w:rsidR="00F53AB1" w:rsidRPr="00C14FC0" w14:paraId="6716C42E" w14:textId="77777777" w:rsidTr="00C14FC0">
        <w:tc>
          <w:tcPr>
            <w:tcW w:w="1188" w:type="dxa"/>
            <w:shd w:val="clear" w:color="auto" w:fill="D9D9D9" w:themeFill="background1" w:themeFillShade="D9"/>
          </w:tcPr>
          <w:p w14:paraId="48A3E91A" w14:textId="77777777" w:rsidR="00F53AB1" w:rsidRPr="00C14FC0" w:rsidRDefault="00F53AB1" w:rsidP="00D87929">
            <w:pPr>
              <w:rPr>
                <w:rFonts w:eastAsiaTheme="majorEastAsia" w:cs="Arial"/>
                <w:sz w:val="20"/>
              </w:rPr>
            </w:pPr>
            <w:r w:rsidRPr="00C14FC0">
              <w:rPr>
                <w:rFonts w:eastAsiaTheme="majorEastAsia" w:cs="Arial"/>
                <w:sz w:val="20"/>
              </w:rPr>
              <w:t>VERSION</w:t>
            </w:r>
          </w:p>
        </w:tc>
        <w:tc>
          <w:tcPr>
            <w:tcW w:w="1980" w:type="dxa"/>
            <w:shd w:val="clear" w:color="auto" w:fill="D9D9D9" w:themeFill="background1" w:themeFillShade="D9"/>
          </w:tcPr>
          <w:p w14:paraId="533255E6" w14:textId="77777777" w:rsidR="00F53AB1" w:rsidRPr="00C14FC0" w:rsidRDefault="00F53AB1" w:rsidP="00D87929">
            <w:pPr>
              <w:rPr>
                <w:rFonts w:eastAsiaTheme="majorEastAsia" w:cs="Arial"/>
                <w:sz w:val="20"/>
              </w:rPr>
            </w:pPr>
            <w:r w:rsidRPr="00C14FC0">
              <w:rPr>
                <w:rFonts w:eastAsiaTheme="majorEastAsia" w:cs="Arial"/>
                <w:sz w:val="20"/>
              </w:rPr>
              <w:t>FECHA</w:t>
            </w:r>
          </w:p>
        </w:tc>
        <w:tc>
          <w:tcPr>
            <w:tcW w:w="6120" w:type="dxa"/>
            <w:shd w:val="clear" w:color="auto" w:fill="D9D9D9" w:themeFill="background1" w:themeFillShade="D9"/>
          </w:tcPr>
          <w:p w14:paraId="4D162F05" w14:textId="77777777" w:rsidR="00F53AB1" w:rsidRPr="00C14FC0" w:rsidRDefault="00F53AB1" w:rsidP="00D87929">
            <w:pPr>
              <w:rPr>
                <w:rFonts w:eastAsiaTheme="majorEastAsia" w:cs="Arial"/>
                <w:sz w:val="20"/>
              </w:rPr>
            </w:pPr>
            <w:r w:rsidRPr="00C14FC0">
              <w:rPr>
                <w:rFonts w:eastAsiaTheme="majorEastAsia" w:cs="Arial"/>
                <w:sz w:val="20"/>
              </w:rPr>
              <w:t>NATURALEZA DEL CAMBIO</w:t>
            </w:r>
          </w:p>
        </w:tc>
      </w:tr>
      <w:tr w:rsidR="00F53AB1" w:rsidRPr="00A85FEA" w14:paraId="3399E597" w14:textId="77777777" w:rsidTr="00C14FC0">
        <w:tc>
          <w:tcPr>
            <w:tcW w:w="1188" w:type="dxa"/>
          </w:tcPr>
          <w:p w14:paraId="6F711218" w14:textId="77777777" w:rsidR="00F53AB1" w:rsidRPr="00A85FEA" w:rsidRDefault="00F53AB1" w:rsidP="00D87929">
            <w:pPr>
              <w:rPr>
                <w:rFonts w:eastAsiaTheme="majorEastAsia" w:cs="Arial"/>
                <w:szCs w:val="22"/>
              </w:rPr>
            </w:pPr>
            <w:r w:rsidRPr="00A85FEA">
              <w:rPr>
                <w:rFonts w:eastAsiaTheme="majorEastAsia" w:cs="Arial"/>
                <w:szCs w:val="22"/>
              </w:rPr>
              <w:t>1</w:t>
            </w:r>
          </w:p>
        </w:tc>
        <w:tc>
          <w:tcPr>
            <w:tcW w:w="1980" w:type="dxa"/>
          </w:tcPr>
          <w:p w14:paraId="5FD00672" w14:textId="77777777" w:rsidR="00F53AB1" w:rsidRPr="00A85FEA" w:rsidRDefault="008469CF" w:rsidP="00D87929">
            <w:pPr>
              <w:rPr>
                <w:rFonts w:eastAsiaTheme="majorEastAsia" w:cs="Arial"/>
                <w:szCs w:val="22"/>
              </w:rPr>
            </w:pPr>
            <w:r>
              <w:rPr>
                <w:rFonts w:eastAsiaTheme="majorEastAsia" w:cs="Arial"/>
                <w:szCs w:val="22"/>
              </w:rPr>
              <w:t>30 de Enero de 2018</w:t>
            </w:r>
          </w:p>
        </w:tc>
        <w:tc>
          <w:tcPr>
            <w:tcW w:w="6120" w:type="dxa"/>
          </w:tcPr>
          <w:p w14:paraId="4A943AA0" w14:textId="77777777" w:rsidR="00F53AB1" w:rsidRPr="00A85FEA" w:rsidRDefault="008469CF" w:rsidP="008469CF">
            <w:pPr>
              <w:rPr>
                <w:rFonts w:eastAsiaTheme="majorEastAsia" w:cs="Arial"/>
                <w:szCs w:val="22"/>
              </w:rPr>
            </w:pPr>
            <w:r>
              <w:rPr>
                <w:rFonts w:eastAsiaTheme="majorEastAsia" w:cs="Arial"/>
                <w:szCs w:val="22"/>
              </w:rPr>
              <w:t xml:space="preserve">Creación de las Políticas </w:t>
            </w:r>
          </w:p>
        </w:tc>
      </w:tr>
      <w:tr w:rsidR="002B6695" w:rsidRPr="00A85FEA" w14:paraId="6DBB3981" w14:textId="77777777" w:rsidTr="00C14FC0">
        <w:tc>
          <w:tcPr>
            <w:tcW w:w="1188" w:type="dxa"/>
          </w:tcPr>
          <w:p w14:paraId="3209A70D" w14:textId="77777777" w:rsidR="002B6695" w:rsidRPr="00A85FEA" w:rsidRDefault="002B6695" w:rsidP="00D87929">
            <w:pPr>
              <w:rPr>
                <w:rFonts w:eastAsiaTheme="majorEastAsia" w:cs="Arial"/>
                <w:szCs w:val="22"/>
              </w:rPr>
            </w:pPr>
            <w:r>
              <w:rPr>
                <w:rFonts w:eastAsiaTheme="majorEastAsia" w:cs="Arial"/>
                <w:szCs w:val="22"/>
              </w:rPr>
              <w:t>2</w:t>
            </w:r>
          </w:p>
        </w:tc>
        <w:tc>
          <w:tcPr>
            <w:tcW w:w="1980" w:type="dxa"/>
          </w:tcPr>
          <w:p w14:paraId="375A655B" w14:textId="77777777" w:rsidR="002B6695" w:rsidRPr="00A85FEA" w:rsidRDefault="002B6695" w:rsidP="00D87929">
            <w:pPr>
              <w:rPr>
                <w:rFonts w:eastAsiaTheme="majorEastAsia" w:cs="Arial"/>
                <w:szCs w:val="22"/>
              </w:rPr>
            </w:pPr>
            <w:r>
              <w:rPr>
                <w:rFonts w:eastAsiaTheme="majorEastAsia" w:cs="Arial"/>
                <w:szCs w:val="22"/>
              </w:rPr>
              <w:t>21 de Noviembre de 2019</w:t>
            </w:r>
          </w:p>
        </w:tc>
        <w:tc>
          <w:tcPr>
            <w:tcW w:w="6120" w:type="dxa"/>
          </w:tcPr>
          <w:p w14:paraId="21EF206A" w14:textId="77777777" w:rsidR="002B6695" w:rsidRPr="00A85FEA" w:rsidRDefault="00523348" w:rsidP="00F018B2">
            <w:pPr>
              <w:jc w:val="both"/>
              <w:rPr>
                <w:rFonts w:eastAsiaTheme="majorEastAsia" w:cs="Arial"/>
                <w:szCs w:val="22"/>
              </w:rPr>
            </w:pPr>
            <w:r w:rsidRPr="00523348">
              <w:rPr>
                <w:rFonts w:eastAsiaTheme="majorEastAsia" w:cs="Arial"/>
                <w:szCs w:val="22"/>
              </w:rPr>
              <w:t>Se actualiza el # del contrato de los sellos de calidad, antes CO10/3291, ahora CO18/8511. Se eliminan los sellos de calidad de la NTC GP 1000 2009 e ISO 9001:2008 por caducidad.</w:t>
            </w:r>
          </w:p>
        </w:tc>
      </w:tr>
      <w:tr w:rsidR="00121EAE" w:rsidRPr="00A85FEA" w14:paraId="0C31B9AB" w14:textId="77777777" w:rsidTr="00C14FC0">
        <w:tc>
          <w:tcPr>
            <w:tcW w:w="1188" w:type="dxa"/>
          </w:tcPr>
          <w:p w14:paraId="4299F024" w14:textId="77777777" w:rsidR="00121EAE" w:rsidRDefault="00121EAE" w:rsidP="00D87929">
            <w:pPr>
              <w:rPr>
                <w:rFonts w:eastAsiaTheme="majorEastAsia" w:cs="Arial"/>
                <w:szCs w:val="22"/>
              </w:rPr>
            </w:pPr>
            <w:r>
              <w:rPr>
                <w:rFonts w:eastAsiaTheme="majorEastAsia" w:cs="Arial"/>
                <w:szCs w:val="22"/>
              </w:rPr>
              <w:t>3</w:t>
            </w:r>
          </w:p>
        </w:tc>
        <w:tc>
          <w:tcPr>
            <w:tcW w:w="1980" w:type="dxa"/>
          </w:tcPr>
          <w:p w14:paraId="269E6CAC" w14:textId="77777777" w:rsidR="00121EAE" w:rsidRDefault="00121EAE" w:rsidP="00D87929">
            <w:pPr>
              <w:rPr>
                <w:rFonts w:eastAsiaTheme="majorEastAsia" w:cs="Arial"/>
                <w:szCs w:val="22"/>
              </w:rPr>
            </w:pPr>
            <w:r>
              <w:rPr>
                <w:rFonts w:eastAsiaTheme="majorEastAsia" w:cs="Arial"/>
                <w:szCs w:val="22"/>
              </w:rPr>
              <w:t>24 de marzo de 2020</w:t>
            </w:r>
          </w:p>
        </w:tc>
        <w:tc>
          <w:tcPr>
            <w:tcW w:w="6120" w:type="dxa"/>
          </w:tcPr>
          <w:p w14:paraId="26BBC2ED" w14:textId="77777777" w:rsidR="00121EAE" w:rsidRPr="00523348" w:rsidRDefault="00121EAE" w:rsidP="00F018B2">
            <w:pPr>
              <w:jc w:val="both"/>
              <w:rPr>
                <w:rFonts w:eastAsiaTheme="majorEastAsia" w:cs="Arial"/>
                <w:szCs w:val="22"/>
              </w:rPr>
            </w:pPr>
            <w:r>
              <w:rPr>
                <w:rFonts w:eastAsiaTheme="majorEastAsia" w:cs="Arial"/>
                <w:szCs w:val="22"/>
              </w:rPr>
              <w:t>Actualización del logo de la corporación 2020-2023</w:t>
            </w:r>
          </w:p>
        </w:tc>
      </w:tr>
    </w:tbl>
    <w:p w14:paraId="6AAC981B" w14:textId="77777777" w:rsidR="00F53AB1" w:rsidRPr="00A85FEA" w:rsidRDefault="00F53AB1" w:rsidP="00D87929">
      <w:pPr>
        <w:rPr>
          <w:rFonts w:cs="Arial"/>
          <w:bCs/>
          <w:szCs w:val="22"/>
        </w:rPr>
      </w:pPr>
    </w:p>
    <w:p w14:paraId="7A542C7B" w14:textId="77777777" w:rsidR="00F53AB1" w:rsidRPr="00A85FEA" w:rsidRDefault="00F53AB1" w:rsidP="00D87929">
      <w:pPr>
        <w:rPr>
          <w:rFonts w:cs="Arial"/>
          <w:szCs w:val="22"/>
        </w:rPr>
      </w:pPr>
    </w:p>
    <w:p w14:paraId="0A3B6160" w14:textId="77777777" w:rsidR="00F53AB1" w:rsidRPr="00A85FEA" w:rsidRDefault="00F53AB1" w:rsidP="00D87929">
      <w:pPr>
        <w:rPr>
          <w:rStyle w:val="apple-converted-space"/>
          <w:rFonts w:cs="Arial"/>
          <w:szCs w:val="22"/>
        </w:rPr>
      </w:pPr>
      <w:r w:rsidRPr="00A85FEA">
        <w:rPr>
          <w:rFonts w:cs="Arial"/>
          <w:bCs/>
          <w:szCs w:val="22"/>
        </w:rPr>
        <w:t xml:space="preserve"> </w:t>
      </w:r>
    </w:p>
    <w:sectPr w:rsidR="00F53AB1" w:rsidRPr="00A85FEA" w:rsidSect="00FE0591">
      <w:headerReference w:type="default" r:id="rId9"/>
      <w:footerReference w:type="default" r:id="rId10"/>
      <w:pgSz w:w="12242" w:h="15842" w:code="1"/>
      <w:pgMar w:top="1701" w:right="1134" w:bottom="1701" w:left="2268" w:header="113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9734" w14:textId="77777777" w:rsidR="00A05FFB" w:rsidRDefault="00A05FFB" w:rsidP="009D7A32">
      <w:r>
        <w:separator/>
      </w:r>
    </w:p>
  </w:endnote>
  <w:endnote w:type="continuationSeparator" w:id="0">
    <w:p w14:paraId="68BBDF89" w14:textId="77777777" w:rsidR="00A05FFB" w:rsidRDefault="00A05FFB" w:rsidP="009D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26036078"/>
      <w:docPartObj>
        <w:docPartGallery w:val="Page Numbers (Bottom of Page)"/>
        <w:docPartUnique/>
      </w:docPartObj>
    </w:sdtPr>
    <w:sdtContent>
      <w:sdt>
        <w:sdtPr>
          <w:rPr>
            <w:sz w:val="16"/>
            <w:szCs w:val="16"/>
          </w:rPr>
          <w:id w:val="860082579"/>
          <w:docPartObj>
            <w:docPartGallery w:val="Page Numbers (Top of Page)"/>
            <w:docPartUnique/>
          </w:docPartObj>
        </w:sdtPr>
        <w:sdtContent>
          <w:p w14:paraId="27DE3E1D" w14:textId="77777777" w:rsidR="00635268" w:rsidRDefault="00635268">
            <w:pPr>
              <w:pStyle w:val="Piedepgina"/>
              <w:jc w:val="right"/>
              <w:rPr>
                <w:sz w:val="16"/>
                <w:szCs w:val="16"/>
              </w:rPr>
            </w:pPr>
          </w:p>
          <w:tbl>
            <w:tblPr>
              <w:tblStyle w:val="Tablaconcuadrcula"/>
              <w:tblW w:w="0" w:type="auto"/>
              <w:tblLook w:val="04A0" w:firstRow="1" w:lastRow="0" w:firstColumn="1" w:lastColumn="0" w:noHBand="0" w:noVBand="1"/>
            </w:tblPr>
            <w:tblGrid>
              <w:gridCol w:w="2992"/>
              <w:gridCol w:w="2993"/>
              <w:gridCol w:w="2993"/>
            </w:tblGrid>
            <w:tr w:rsidR="00FC5C4A" w14:paraId="20EB6DF9" w14:textId="77777777" w:rsidTr="00814AA6">
              <w:tc>
                <w:tcPr>
                  <w:tcW w:w="8978" w:type="dxa"/>
                  <w:gridSpan w:val="3"/>
                  <w:shd w:val="clear" w:color="auto" w:fill="C2D69B" w:themeFill="accent3" w:themeFillTint="99"/>
                </w:tcPr>
                <w:p w14:paraId="1401B78E" w14:textId="77777777" w:rsidR="00FC5C4A" w:rsidRPr="00C12897" w:rsidRDefault="00FC5C4A" w:rsidP="00814AA6">
                  <w:pPr>
                    <w:jc w:val="center"/>
                    <w:rPr>
                      <w:rFonts w:cs="Arial"/>
                      <w:b/>
                      <w:sz w:val="16"/>
                      <w:szCs w:val="16"/>
                    </w:rPr>
                  </w:pPr>
                  <w:r w:rsidRPr="00C12897">
                    <w:rPr>
                      <w:rFonts w:cs="Arial"/>
                      <w:b/>
                      <w:sz w:val="16"/>
                      <w:szCs w:val="16"/>
                    </w:rPr>
                    <w:t>CONTROL DE DOCUMENTOS</w:t>
                  </w:r>
                </w:p>
              </w:tc>
            </w:tr>
            <w:tr w:rsidR="00883EFE" w:rsidRPr="00C12897" w14:paraId="6FC8736B" w14:textId="77777777" w:rsidTr="00814AA6">
              <w:trPr>
                <w:trHeight w:val="512"/>
              </w:trPr>
              <w:tc>
                <w:tcPr>
                  <w:tcW w:w="2992" w:type="dxa"/>
                </w:tcPr>
                <w:p w14:paraId="02E6A375" w14:textId="77777777" w:rsidR="00883EFE" w:rsidRDefault="00883EFE" w:rsidP="00D24218">
                  <w:pPr>
                    <w:rPr>
                      <w:rFonts w:cs="Arial"/>
                      <w:sz w:val="14"/>
                      <w:szCs w:val="14"/>
                    </w:rPr>
                  </w:pPr>
                </w:p>
                <w:p w14:paraId="7E72A64C" w14:textId="20F7AFE0" w:rsidR="00D24218" w:rsidRDefault="00883EFE" w:rsidP="00D24218">
                  <w:pPr>
                    <w:rPr>
                      <w:rFonts w:cs="Arial"/>
                      <w:sz w:val="14"/>
                      <w:szCs w:val="14"/>
                    </w:rPr>
                  </w:pPr>
                  <w:r w:rsidRPr="00883EFE">
                    <w:rPr>
                      <w:rFonts w:cs="Arial"/>
                      <w:sz w:val="14"/>
                      <w:szCs w:val="14"/>
                    </w:rPr>
                    <w:t xml:space="preserve">PRESENTO: </w:t>
                  </w:r>
                  <w:r w:rsidR="00D24218">
                    <w:rPr>
                      <w:rFonts w:cs="Arial"/>
                      <w:sz w:val="14"/>
                      <w:szCs w:val="14"/>
                    </w:rPr>
                    <w:t>JULIA DAVID ANGARITA R.</w:t>
                  </w:r>
                </w:p>
                <w:p w14:paraId="1A013405" w14:textId="354A4CD7" w:rsidR="00883EFE" w:rsidRPr="00883EFE" w:rsidRDefault="00883EFE" w:rsidP="00D24218">
                  <w:pPr>
                    <w:rPr>
                      <w:rFonts w:cs="Arial"/>
                      <w:sz w:val="14"/>
                      <w:szCs w:val="14"/>
                    </w:rPr>
                  </w:pPr>
                  <w:r w:rsidRPr="00883EFE">
                    <w:rPr>
                      <w:rFonts w:cs="Arial"/>
                      <w:sz w:val="14"/>
                      <w:szCs w:val="14"/>
                    </w:rPr>
                    <w:t>Subdirector Administrativ</w:t>
                  </w:r>
                  <w:r w:rsidR="00D24218">
                    <w:rPr>
                      <w:rFonts w:cs="Arial"/>
                      <w:sz w:val="14"/>
                      <w:szCs w:val="14"/>
                    </w:rPr>
                    <w:t xml:space="preserve">o </w:t>
                  </w:r>
                  <w:r w:rsidRPr="00883EFE">
                    <w:rPr>
                      <w:rFonts w:cs="Arial"/>
                      <w:sz w:val="14"/>
                      <w:szCs w:val="14"/>
                    </w:rPr>
                    <w:t>y Financier</w:t>
                  </w:r>
                  <w:r w:rsidR="00D24218">
                    <w:rPr>
                      <w:rFonts w:cs="Arial"/>
                      <w:sz w:val="14"/>
                      <w:szCs w:val="14"/>
                    </w:rPr>
                    <w:t>o</w:t>
                  </w:r>
                </w:p>
              </w:tc>
              <w:tc>
                <w:tcPr>
                  <w:tcW w:w="2993" w:type="dxa"/>
                </w:tcPr>
                <w:p w14:paraId="3B355CEA" w14:textId="77777777" w:rsidR="00FC5C4A" w:rsidRDefault="00FC5C4A" w:rsidP="00D24218">
                  <w:pPr>
                    <w:rPr>
                      <w:rFonts w:cs="Arial"/>
                      <w:sz w:val="14"/>
                      <w:szCs w:val="14"/>
                    </w:rPr>
                  </w:pPr>
                </w:p>
                <w:p w14:paraId="093A4039" w14:textId="77777777" w:rsidR="00883EFE" w:rsidRPr="00883EFE" w:rsidRDefault="00883EFE" w:rsidP="00D24218">
                  <w:pPr>
                    <w:tabs>
                      <w:tab w:val="left" w:pos="932"/>
                    </w:tabs>
                    <w:rPr>
                      <w:rFonts w:cs="Arial"/>
                      <w:sz w:val="14"/>
                      <w:szCs w:val="14"/>
                    </w:rPr>
                  </w:pPr>
                  <w:r w:rsidRPr="00883EFE">
                    <w:rPr>
                      <w:rFonts w:cs="Arial"/>
                      <w:sz w:val="14"/>
                      <w:szCs w:val="14"/>
                    </w:rPr>
                    <w:t>REVISO: SOLANGEL VANEGAS ROMERO</w:t>
                  </w:r>
                </w:p>
                <w:p w14:paraId="1ABE7B90" w14:textId="77777777" w:rsidR="00883EFE" w:rsidRPr="00883EFE" w:rsidRDefault="00883EFE" w:rsidP="00D24218">
                  <w:pPr>
                    <w:tabs>
                      <w:tab w:val="left" w:pos="932"/>
                    </w:tabs>
                    <w:rPr>
                      <w:rFonts w:cs="Arial"/>
                      <w:sz w:val="14"/>
                      <w:szCs w:val="14"/>
                    </w:rPr>
                  </w:pPr>
                  <w:r w:rsidRPr="00883EFE">
                    <w:rPr>
                      <w:rFonts w:cs="Arial"/>
                      <w:sz w:val="14"/>
                      <w:szCs w:val="14"/>
                    </w:rPr>
                    <w:t>Líder SIGI</w:t>
                  </w:r>
                </w:p>
              </w:tc>
              <w:tc>
                <w:tcPr>
                  <w:tcW w:w="2993" w:type="dxa"/>
                </w:tcPr>
                <w:p w14:paraId="18970746" w14:textId="77777777" w:rsidR="00FC5C4A" w:rsidRDefault="00FC5C4A" w:rsidP="00D24218">
                  <w:pPr>
                    <w:rPr>
                      <w:rFonts w:cs="Arial"/>
                      <w:sz w:val="14"/>
                      <w:szCs w:val="14"/>
                    </w:rPr>
                  </w:pPr>
                </w:p>
                <w:p w14:paraId="74FED89A" w14:textId="77777777" w:rsidR="00883EFE" w:rsidRPr="00883EFE" w:rsidRDefault="00883EFE" w:rsidP="00D24218">
                  <w:pPr>
                    <w:rPr>
                      <w:rFonts w:cs="Arial"/>
                      <w:sz w:val="14"/>
                      <w:szCs w:val="14"/>
                    </w:rPr>
                  </w:pPr>
                  <w:r w:rsidRPr="00883EFE">
                    <w:rPr>
                      <w:rFonts w:cs="Arial"/>
                      <w:sz w:val="14"/>
                      <w:szCs w:val="14"/>
                    </w:rPr>
                    <w:t>APROBO:  COMITÉ DE DIRECCIÓN</w:t>
                  </w:r>
                </w:p>
              </w:tc>
            </w:tr>
            <w:tr w:rsidR="00883EFE" w:rsidRPr="00C12897" w14:paraId="2171FDEB" w14:textId="77777777" w:rsidTr="00814AA6">
              <w:tc>
                <w:tcPr>
                  <w:tcW w:w="2992" w:type="dxa"/>
                </w:tcPr>
                <w:p w14:paraId="7800CA3A" w14:textId="5CA1E99A" w:rsidR="00FC5C4A" w:rsidRPr="00883EFE" w:rsidRDefault="00D24218" w:rsidP="00D24218">
                  <w:pPr>
                    <w:rPr>
                      <w:rFonts w:cs="Arial"/>
                      <w:bCs/>
                      <w:sz w:val="14"/>
                      <w:szCs w:val="14"/>
                    </w:rPr>
                  </w:pPr>
                  <w:r w:rsidRPr="00883EFE">
                    <w:rPr>
                      <w:rFonts w:cs="Arial"/>
                      <w:bCs/>
                      <w:sz w:val="16"/>
                      <w:szCs w:val="16"/>
                    </w:rPr>
                    <w:t xml:space="preserve">FECHA: </w:t>
                  </w:r>
                  <w:r>
                    <w:rPr>
                      <w:rFonts w:cs="Arial"/>
                      <w:bCs/>
                      <w:sz w:val="16"/>
                      <w:szCs w:val="16"/>
                    </w:rPr>
                    <w:t>02 de Febrero de 2026</w:t>
                  </w:r>
                </w:p>
              </w:tc>
              <w:tc>
                <w:tcPr>
                  <w:tcW w:w="2993" w:type="dxa"/>
                </w:tcPr>
                <w:p w14:paraId="515B04BC" w14:textId="20AD86B2" w:rsidR="00FC5C4A" w:rsidRPr="00883EFE" w:rsidRDefault="00D24218" w:rsidP="00D24218">
                  <w:pPr>
                    <w:rPr>
                      <w:rFonts w:cs="Arial"/>
                      <w:bCs/>
                      <w:sz w:val="14"/>
                      <w:szCs w:val="14"/>
                    </w:rPr>
                  </w:pPr>
                  <w:r w:rsidRPr="00883EFE">
                    <w:rPr>
                      <w:rFonts w:cs="Arial"/>
                      <w:bCs/>
                      <w:sz w:val="16"/>
                      <w:szCs w:val="16"/>
                    </w:rPr>
                    <w:t xml:space="preserve">FECHA: </w:t>
                  </w:r>
                  <w:r>
                    <w:rPr>
                      <w:rFonts w:cs="Arial"/>
                      <w:bCs/>
                      <w:sz w:val="16"/>
                      <w:szCs w:val="16"/>
                    </w:rPr>
                    <w:t>02 de Febrero de 2026</w:t>
                  </w:r>
                </w:p>
              </w:tc>
              <w:tc>
                <w:tcPr>
                  <w:tcW w:w="2993" w:type="dxa"/>
                </w:tcPr>
                <w:p w14:paraId="2BD18F44" w14:textId="25A346C2" w:rsidR="00FC5C4A" w:rsidRPr="00883EFE" w:rsidRDefault="00883EFE" w:rsidP="00D24218">
                  <w:pPr>
                    <w:rPr>
                      <w:rFonts w:cs="Arial"/>
                      <w:bCs/>
                      <w:sz w:val="14"/>
                      <w:szCs w:val="14"/>
                    </w:rPr>
                  </w:pPr>
                  <w:r w:rsidRPr="00883EFE">
                    <w:rPr>
                      <w:rFonts w:cs="Arial"/>
                      <w:bCs/>
                      <w:sz w:val="16"/>
                      <w:szCs w:val="16"/>
                    </w:rPr>
                    <w:t xml:space="preserve">FECHA: </w:t>
                  </w:r>
                  <w:r w:rsidR="00D24218">
                    <w:rPr>
                      <w:rFonts w:cs="Arial"/>
                      <w:bCs/>
                      <w:sz w:val="16"/>
                      <w:szCs w:val="16"/>
                    </w:rPr>
                    <w:t>02 de Febrero de 2026</w:t>
                  </w:r>
                </w:p>
              </w:tc>
            </w:tr>
          </w:tbl>
          <w:p w14:paraId="2D26EE86" w14:textId="77777777" w:rsidR="00635268" w:rsidRPr="00996817" w:rsidRDefault="00635268">
            <w:pPr>
              <w:pStyle w:val="Piedepgina"/>
              <w:jc w:val="right"/>
              <w:rPr>
                <w:sz w:val="16"/>
                <w:szCs w:val="16"/>
              </w:rPr>
            </w:pPr>
            <w:r w:rsidRPr="00996817">
              <w:rPr>
                <w:sz w:val="16"/>
                <w:szCs w:val="16"/>
                <w:lang w:val="es-ES"/>
              </w:rPr>
              <w:t xml:space="preserve">Página </w:t>
            </w:r>
            <w:r w:rsidRPr="00996817">
              <w:rPr>
                <w:bCs/>
                <w:sz w:val="16"/>
                <w:szCs w:val="16"/>
              </w:rPr>
              <w:fldChar w:fldCharType="begin"/>
            </w:r>
            <w:r w:rsidRPr="00996817">
              <w:rPr>
                <w:bCs/>
                <w:sz w:val="16"/>
                <w:szCs w:val="16"/>
              </w:rPr>
              <w:instrText>PAGE</w:instrText>
            </w:r>
            <w:r w:rsidRPr="00996817">
              <w:rPr>
                <w:bCs/>
                <w:sz w:val="16"/>
                <w:szCs w:val="16"/>
              </w:rPr>
              <w:fldChar w:fldCharType="separate"/>
            </w:r>
            <w:r w:rsidR="00535B55">
              <w:rPr>
                <w:bCs/>
                <w:noProof/>
                <w:sz w:val="16"/>
                <w:szCs w:val="16"/>
              </w:rPr>
              <w:t>3</w:t>
            </w:r>
            <w:r w:rsidRPr="00996817">
              <w:rPr>
                <w:bCs/>
                <w:sz w:val="16"/>
                <w:szCs w:val="16"/>
              </w:rPr>
              <w:fldChar w:fldCharType="end"/>
            </w:r>
            <w:r w:rsidRPr="00996817">
              <w:rPr>
                <w:sz w:val="16"/>
                <w:szCs w:val="16"/>
                <w:lang w:val="es-ES"/>
              </w:rPr>
              <w:t xml:space="preserve"> de </w:t>
            </w:r>
            <w:r w:rsidRPr="00996817">
              <w:rPr>
                <w:bCs/>
                <w:sz w:val="16"/>
                <w:szCs w:val="16"/>
              </w:rPr>
              <w:fldChar w:fldCharType="begin"/>
            </w:r>
            <w:r w:rsidRPr="00996817">
              <w:rPr>
                <w:bCs/>
                <w:sz w:val="16"/>
                <w:szCs w:val="16"/>
              </w:rPr>
              <w:instrText>NUMPAGES</w:instrText>
            </w:r>
            <w:r w:rsidRPr="00996817">
              <w:rPr>
                <w:bCs/>
                <w:sz w:val="16"/>
                <w:szCs w:val="16"/>
              </w:rPr>
              <w:fldChar w:fldCharType="separate"/>
            </w:r>
            <w:r w:rsidR="00535B55">
              <w:rPr>
                <w:bCs/>
                <w:noProof/>
                <w:sz w:val="16"/>
                <w:szCs w:val="16"/>
              </w:rPr>
              <w:t>105</w:t>
            </w:r>
            <w:r w:rsidRPr="00996817">
              <w:rPr>
                <w:bCs/>
                <w:sz w:val="16"/>
                <w:szCs w:val="16"/>
              </w:rPr>
              <w:fldChar w:fldCharType="end"/>
            </w:r>
          </w:p>
        </w:sdtContent>
      </w:sdt>
    </w:sdtContent>
  </w:sdt>
  <w:p w14:paraId="49994F77" w14:textId="77777777" w:rsidR="00635268" w:rsidRDefault="006352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37081" w14:textId="77777777" w:rsidR="00A05FFB" w:rsidRDefault="00A05FFB" w:rsidP="009D7A32">
      <w:r>
        <w:separator/>
      </w:r>
    </w:p>
  </w:footnote>
  <w:footnote w:type="continuationSeparator" w:id="0">
    <w:p w14:paraId="0CC5711F" w14:textId="77777777" w:rsidR="00A05FFB" w:rsidRDefault="00A05FFB" w:rsidP="009D7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4819"/>
      <w:gridCol w:w="2410"/>
    </w:tblGrid>
    <w:tr w:rsidR="00635268" w:rsidRPr="00A16B33" w14:paraId="168869C0" w14:textId="77777777" w:rsidTr="00883EFE">
      <w:trPr>
        <w:trHeight w:val="272"/>
      </w:trPr>
      <w:tc>
        <w:tcPr>
          <w:tcW w:w="1668" w:type="dxa"/>
          <w:vMerge w:val="restart"/>
          <w:vAlign w:val="center"/>
        </w:tcPr>
        <w:p w14:paraId="3EC6732A" w14:textId="77777777" w:rsidR="00635268" w:rsidRPr="00E736F3" w:rsidRDefault="00883EFE" w:rsidP="00E35837">
          <w:pPr>
            <w:pStyle w:val="Encabezado"/>
            <w:ind w:left="-57" w:right="-57"/>
            <w:jc w:val="center"/>
            <w:rPr>
              <w:noProof/>
              <w:lang w:eastAsia="es-CO"/>
            </w:rPr>
          </w:pPr>
          <w:r w:rsidRPr="00864495">
            <w:rPr>
              <w:noProof/>
            </w:rPr>
            <w:drawing>
              <wp:inline distT="0" distB="0" distL="0" distR="0" wp14:anchorId="1C045875" wp14:editId="6DC23BEB">
                <wp:extent cx="949325" cy="556842"/>
                <wp:effectExtent l="0" t="0" r="3175" b="0"/>
                <wp:docPr id="1" name="Imagen 3" descr="C:\Users\acer\Desktop\logo.jpg">
                  <a:extLst xmlns:a="http://schemas.openxmlformats.org/drawingml/2006/main">
                    <a:ext uri="{FF2B5EF4-FFF2-40B4-BE49-F238E27FC236}">
                      <a16:creationId xmlns:a16="http://schemas.microsoft.com/office/drawing/2014/main" id="{1635DBD8-3AF6-4AE6-AE52-24CBD7F9D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Users\acer\Desktop\logo.jpg">
                          <a:extLst>
                            <a:ext uri="{FF2B5EF4-FFF2-40B4-BE49-F238E27FC236}">
                              <a16:creationId xmlns:a16="http://schemas.microsoft.com/office/drawing/2014/main" id="{1635DBD8-3AF6-4AE6-AE52-24CBD7F9D3C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359" cy="592056"/>
                        </a:xfrm>
                        <a:prstGeom prst="rect">
                          <a:avLst/>
                        </a:prstGeom>
                        <a:noFill/>
                        <a:ln>
                          <a:noFill/>
                        </a:ln>
                      </pic:spPr>
                    </pic:pic>
                  </a:graphicData>
                </a:graphic>
              </wp:inline>
            </w:drawing>
          </w:r>
        </w:p>
      </w:tc>
      <w:tc>
        <w:tcPr>
          <w:tcW w:w="4819" w:type="dxa"/>
          <w:vMerge w:val="restart"/>
          <w:vAlign w:val="center"/>
        </w:tcPr>
        <w:p w14:paraId="5E3CD804" w14:textId="77777777" w:rsidR="00635268" w:rsidRPr="00BE1E71" w:rsidRDefault="00DE5FA4" w:rsidP="00B34504">
          <w:pPr>
            <w:pStyle w:val="Encabezado"/>
            <w:ind w:left="-57" w:right="-57"/>
            <w:jc w:val="center"/>
            <w:rPr>
              <w:rFonts w:cs="Arial"/>
              <w:b/>
              <w:noProof/>
              <w:sz w:val="14"/>
              <w:szCs w:val="14"/>
              <w:lang w:val="es-ES" w:eastAsia="es-ES"/>
            </w:rPr>
          </w:pPr>
          <w:r>
            <w:rPr>
              <w:rFonts w:cs="Arial"/>
              <w:b/>
              <w:noProof/>
              <w:sz w:val="16"/>
              <w:szCs w:val="16"/>
              <w:lang w:val="es-ES" w:eastAsia="es-ES"/>
            </w:rPr>
            <w:t xml:space="preserve">MANUAL </w:t>
          </w:r>
          <w:r w:rsidR="00C81F9F">
            <w:rPr>
              <w:rFonts w:cs="Arial"/>
              <w:b/>
              <w:noProof/>
              <w:sz w:val="16"/>
              <w:szCs w:val="16"/>
              <w:lang w:val="es-ES" w:eastAsia="es-ES"/>
            </w:rPr>
            <w:t xml:space="preserve">DE </w:t>
          </w:r>
          <w:r>
            <w:rPr>
              <w:rFonts w:cs="Arial"/>
              <w:b/>
              <w:noProof/>
              <w:sz w:val="16"/>
              <w:szCs w:val="16"/>
              <w:lang w:val="es-ES" w:eastAsia="es-ES"/>
            </w:rPr>
            <w:t>POLÍTICAS CONTABLES</w:t>
          </w:r>
        </w:p>
      </w:tc>
      <w:tc>
        <w:tcPr>
          <w:tcW w:w="2410" w:type="dxa"/>
          <w:vAlign w:val="center"/>
        </w:tcPr>
        <w:p w14:paraId="7FE886CD" w14:textId="1E477B37" w:rsidR="00635268" w:rsidRPr="00C25A3D" w:rsidRDefault="00635268" w:rsidP="00D24218">
          <w:pPr>
            <w:pStyle w:val="Encabezado"/>
            <w:ind w:left="-57" w:right="-57"/>
            <w:jc w:val="center"/>
            <w:rPr>
              <w:rFonts w:cs="Arial"/>
              <w:b/>
              <w:sz w:val="14"/>
              <w:szCs w:val="14"/>
            </w:rPr>
          </w:pPr>
          <w:r>
            <w:rPr>
              <w:rFonts w:cs="Arial"/>
              <w:b/>
              <w:noProof/>
              <w:sz w:val="14"/>
              <w:szCs w:val="16"/>
              <w:lang w:eastAsia="es-CO"/>
            </w:rPr>
            <w:drawing>
              <wp:anchor distT="0" distB="0" distL="114300" distR="114300" simplePos="0" relativeHeight="251725824" behindDoc="0" locked="0" layoutInCell="1" allowOverlap="1" wp14:anchorId="6B445CBB" wp14:editId="38A64FE5">
                <wp:simplePos x="0" y="0"/>
                <wp:positionH relativeFrom="column">
                  <wp:posOffset>5690235</wp:posOffset>
                </wp:positionH>
                <wp:positionV relativeFrom="paragraph">
                  <wp:posOffset>9051925</wp:posOffset>
                </wp:positionV>
                <wp:extent cx="539750" cy="577215"/>
                <wp:effectExtent l="0" t="0" r="0" b="0"/>
                <wp:wrapNone/>
                <wp:docPr id="35" name="Imagen 35"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anchor>
            </w:drawing>
          </w:r>
          <w:r>
            <w:rPr>
              <w:rFonts w:cs="Arial"/>
              <w:b/>
              <w:noProof/>
              <w:sz w:val="14"/>
              <w:szCs w:val="16"/>
              <w:lang w:eastAsia="es-CO"/>
            </w:rPr>
            <w:drawing>
              <wp:anchor distT="0" distB="0" distL="114300" distR="114300" simplePos="0" relativeHeight="251657216" behindDoc="0" locked="0" layoutInCell="1" allowOverlap="1" wp14:anchorId="5F53D5A3" wp14:editId="2E37B910">
                <wp:simplePos x="0" y="0"/>
                <wp:positionH relativeFrom="column">
                  <wp:posOffset>5093335</wp:posOffset>
                </wp:positionH>
                <wp:positionV relativeFrom="paragraph">
                  <wp:posOffset>9064625</wp:posOffset>
                </wp:positionV>
                <wp:extent cx="539750" cy="539750"/>
                <wp:effectExtent l="0" t="0" r="0" b="0"/>
                <wp:wrapNone/>
                <wp:docPr id="38" name="Imagen 38"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anchor>
            </w:drawing>
          </w:r>
          <w:r w:rsidR="00D24218">
            <w:rPr>
              <w:rFonts w:cs="Arial"/>
              <w:b/>
              <w:sz w:val="14"/>
              <w:szCs w:val="14"/>
              <w:lang w:eastAsia="es-CO"/>
            </w:rPr>
            <w:t>SIGI - CDA</w:t>
          </w:r>
        </w:p>
      </w:tc>
    </w:tr>
    <w:tr w:rsidR="00635268" w:rsidRPr="00A16B33" w14:paraId="5AE23B10" w14:textId="77777777" w:rsidTr="00883EFE">
      <w:trPr>
        <w:trHeight w:val="272"/>
      </w:trPr>
      <w:tc>
        <w:tcPr>
          <w:tcW w:w="1668" w:type="dxa"/>
          <w:vMerge/>
          <w:vAlign w:val="center"/>
        </w:tcPr>
        <w:p w14:paraId="0A4DA739" w14:textId="77777777" w:rsidR="00635268" w:rsidRPr="00A03D59" w:rsidRDefault="00635268" w:rsidP="00E35837">
          <w:pPr>
            <w:pStyle w:val="Encabezado"/>
            <w:ind w:left="-57" w:right="-57"/>
            <w:jc w:val="center"/>
            <w:rPr>
              <w:rFonts w:cs="Arial"/>
              <w:b/>
              <w:sz w:val="14"/>
              <w:szCs w:val="18"/>
            </w:rPr>
          </w:pPr>
        </w:p>
      </w:tc>
      <w:tc>
        <w:tcPr>
          <w:tcW w:w="4819" w:type="dxa"/>
          <w:vMerge/>
          <w:vAlign w:val="center"/>
        </w:tcPr>
        <w:p w14:paraId="6014D939" w14:textId="77777777" w:rsidR="00635268" w:rsidRPr="00A03D59" w:rsidRDefault="00635268" w:rsidP="00E35837">
          <w:pPr>
            <w:pStyle w:val="Encabezado"/>
            <w:ind w:left="-57" w:right="-57"/>
            <w:jc w:val="center"/>
            <w:rPr>
              <w:rFonts w:cs="Arial"/>
              <w:b/>
              <w:sz w:val="14"/>
              <w:szCs w:val="18"/>
            </w:rPr>
          </w:pPr>
        </w:p>
      </w:tc>
      <w:tc>
        <w:tcPr>
          <w:tcW w:w="2410" w:type="dxa"/>
          <w:vAlign w:val="center"/>
        </w:tcPr>
        <w:p w14:paraId="1ADE3D4C" w14:textId="70124DE3" w:rsidR="00635268" w:rsidRPr="00883EFE" w:rsidRDefault="00883EFE" w:rsidP="00883EFE">
          <w:pPr>
            <w:pStyle w:val="Encabezado"/>
            <w:ind w:left="-57" w:right="-57"/>
            <w:rPr>
              <w:rFonts w:cs="Arial"/>
              <w:b/>
              <w:sz w:val="16"/>
              <w:szCs w:val="16"/>
            </w:rPr>
          </w:pPr>
          <w:r w:rsidRPr="00D24218">
            <w:rPr>
              <w:rFonts w:cs="Arial"/>
              <w:b/>
              <w:sz w:val="14"/>
              <w:szCs w:val="16"/>
            </w:rPr>
            <w:t xml:space="preserve">FECHA: </w:t>
          </w:r>
          <w:r w:rsidR="00D24218" w:rsidRPr="00D24218">
            <w:rPr>
              <w:rFonts w:cs="Arial"/>
              <w:b/>
              <w:sz w:val="14"/>
              <w:szCs w:val="16"/>
            </w:rPr>
            <w:t>02 de Febrero de 2026</w:t>
          </w:r>
        </w:p>
      </w:tc>
    </w:tr>
    <w:tr w:rsidR="00635268" w14:paraId="5A11EEA4" w14:textId="77777777" w:rsidTr="00883EFE">
      <w:trPr>
        <w:trHeight w:val="272"/>
      </w:trPr>
      <w:tc>
        <w:tcPr>
          <w:tcW w:w="1668" w:type="dxa"/>
          <w:vMerge/>
        </w:tcPr>
        <w:p w14:paraId="3400C654" w14:textId="77777777" w:rsidR="00635268" w:rsidRPr="00996817" w:rsidRDefault="00635268" w:rsidP="00E35837">
          <w:pPr>
            <w:pStyle w:val="Encabezado"/>
            <w:ind w:left="-57" w:right="-57"/>
            <w:jc w:val="center"/>
            <w:rPr>
              <w:rFonts w:cs="Arial"/>
              <w:b/>
              <w:sz w:val="18"/>
              <w:szCs w:val="18"/>
            </w:rPr>
          </w:pPr>
        </w:p>
      </w:tc>
      <w:tc>
        <w:tcPr>
          <w:tcW w:w="4819" w:type="dxa"/>
          <w:vMerge w:val="restart"/>
          <w:vAlign w:val="center"/>
        </w:tcPr>
        <w:p w14:paraId="1CC5657A" w14:textId="77777777" w:rsidR="00635268" w:rsidRPr="00475ED9" w:rsidRDefault="00DE5FA4" w:rsidP="00475ED9">
          <w:pPr>
            <w:jc w:val="center"/>
            <w:rPr>
              <w:b/>
              <w:sz w:val="14"/>
              <w:szCs w:val="14"/>
              <w:highlight w:val="yellow"/>
            </w:rPr>
          </w:pPr>
          <w:r>
            <w:rPr>
              <w:rFonts w:cs="Arial"/>
              <w:b/>
              <w:noProof/>
              <w:sz w:val="14"/>
              <w:szCs w:val="14"/>
              <w:lang w:val="es-ES" w:eastAsia="es-ES"/>
            </w:rPr>
            <w:t>PROCESO</w:t>
          </w:r>
          <w:r w:rsidR="00635268">
            <w:rPr>
              <w:rFonts w:cs="Arial"/>
              <w:b/>
              <w:noProof/>
              <w:sz w:val="14"/>
              <w:szCs w:val="14"/>
              <w:lang w:val="es-ES" w:eastAsia="es-ES"/>
            </w:rPr>
            <w:t xml:space="preserve">: </w:t>
          </w:r>
          <w:r w:rsidR="00270917">
            <w:rPr>
              <w:rFonts w:cs="Arial"/>
              <w:b/>
              <w:noProof/>
              <w:sz w:val="14"/>
              <w:szCs w:val="14"/>
              <w:lang w:val="es-ES" w:eastAsia="es-ES"/>
            </w:rPr>
            <w:t xml:space="preserve">GESTIÓN </w:t>
          </w:r>
          <w:r>
            <w:rPr>
              <w:b/>
              <w:sz w:val="14"/>
              <w:szCs w:val="14"/>
            </w:rPr>
            <w:t>ADMINISTRATIVA Y FINANCIERA</w:t>
          </w:r>
        </w:p>
        <w:p w14:paraId="5BD2AE71" w14:textId="77777777" w:rsidR="00635268" w:rsidRPr="00BE1E71" w:rsidRDefault="00635268" w:rsidP="00D66E67">
          <w:pPr>
            <w:pStyle w:val="Encabezado"/>
            <w:ind w:left="-57" w:right="-57"/>
            <w:jc w:val="center"/>
            <w:rPr>
              <w:rFonts w:cs="Arial"/>
              <w:b/>
              <w:sz w:val="16"/>
              <w:szCs w:val="16"/>
            </w:rPr>
          </w:pPr>
        </w:p>
      </w:tc>
      <w:tc>
        <w:tcPr>
          <w:tcW w:w="2410" w:type="dxa"/>
          <w:vAlign w:val="center"/>
        </w:tcPr>
        <w:p w14:paraId="3C7B1CF0" w14:textId="77777777" w:rsidR="00635268" w:rsidRPr="00887A77" w:rsidRDefault="00635268" w:rsidP="00AE0045">
          <w:pPr>
            <w:pStyle w:val="Encabezado"/>
            <w:ind w:left="-57" w:right="-57"/>
            <w:rPr>
              <w:rFonts w:cs="Arial"/>
              <w:b/>
              <w:sz w:val="14"/>
              <w:szCs w:val="16"/>
            </w:rPr>
          </w:pPr>
          <w:r w:rsidRPr="00887A77">
            <w:rPr>
              <w:rFonts w:cs="Arial"/>
              <w:b/>
              <w:sz w:val="14"/>
              <w:szCs w:val="16"/>
              <w:lang w:val="en-US"/>
            </w:rPr>
            <w:t>CODIGO:</w:t>
          </w:r>
          <w:r>
            <w:rPr>
              <w:rFonts w:cs="Arial"/>
              <w:b/>
              <w:sz w:val="14"/>
              <w:szCs w:val="16"/>
              <w:lang w:val="en-US"/>
            </w:rPr>
            <w:t xml:space="preserve"> </w:t>
          </w:r>
          <w:r w:rsidR="00DE5FA4" w:rsidRPr="00DE5FA4">
            <w:rPr>
              <w:rFonts w:cs="Arial"/>
              <w:b/>
              <w:sz w:val="14"/>
              <w:szCs w:val="16"/>
              <w:lang w:val="en-US"/>
            </w:rPr>
            <w:t>AGAF-CP-0</w:t>
          </w:r>
          <w:r w:rsidR="00883EFE">
            <w:rPr>
              <w:rFonts w:cs="Arial"/>
              <w:b/>
              <w:sz w:val="14"/>
              <w:szCs w:val="16"/>
              <w:lang w:val="en-US"/>
            </w:rPr>
            <w:t>8</w:t>
          </w:r>
          <w:r w:rsidR="00DE5FA4">
            <w:rPr>
              <w:rFonts w:cs="Arial"/>
              <w:b/>
              <w:sz w:val="14"/>
              <w:szCs w:val="16"/>
              <w:lang w:val="en-US"/>
            </w:rPr>
            <w:t>-IN-01</w:t>
          </w:r>
        </w:p>
      </w:tc>
    </w:tr>
    <w:tr w:rsidR="00635268" w:rsidRPr="00A16B33" w14:paraId="39930B70" w14:textId="77777777" w:rsidTr="00883EFE">
      <w:trPr>
        <w:trHeight w:val="272"/>
      </w:trPr>
      <w:tc>
        <w:tcPr>
          <w:tcW w:w="1668" w:type="dxa"/>
          <w:vMerge/>
        </w:tcPr>
        <w:p w14:paraId="7CFCE00B" w14:textId="77777777" w:rsidR="00635268" w:rsidRPr="00996817" w:rsidRDefault="00635268" w:rsidP="00E35837">
          <w:pPr>
            <w:pStyle w:val="Encabezado"/>
            <w:ind w:left="-57" w:right="-57"/>
            <w:jc w:val="center"/>
            <w:rPr>
              <w:rFonts w:cs="Arial"/>
              <w:b/>
              <w:sz w:val="18"/>
              <w:szCs w:val="18"/>
              <w:lang w:val="en-US"/>
            </w:rPr>
          </w:pPr>
        </w:p>
      </w:tc>
      <w:tc>
        <w:tcPr>
          <w:tcW w:w="4819" w:type="dxa"/>
          <w:vMerge/>
        </w:tcPr>
        <w:p w14:paraId="0C2BF75E" w14:textId="77777777" w:rsidR="00635268" w:rsidRPr="00996817" w:rsidRDefault="00635268" w:rsidP="00E35837">
          <w:pPr>
            <w:pStyle w:val="Encabezado"/>
            <w:ind w:left="-57" w:right="-57"/>
            <w:jc w:val="center"/>
            <w:rPr>
              <w:rFonts w:cs="Arial"/>
              <w:b/>
              <w:sz w:val="18"/>
              <w:szCs w:val="18"/>
              <w:lang w:val="en-US"/>
            </w:rPr>
          </w:pPr>
        </w:p>
      </w:tc>
      <w:tc>
        <w:tcPr>
          <w:tcW w:w="2410" w:type="dxa"/>
          <w:vAlign w:val="center"/>
        </w:tcPr>
        <w:p w14:paraId="0DBD7DE2" w14:textId="6079A2A3" w:rsidR="00635268" w:rsidRPr="00887A77" w:rsidRDefault="002B6695" w:rsidP="00333513">
          <w:pPr>
            <w:pStyle w:val="Encabezado"/>
            <w:ind w:left="-57" w:right="-57"/>
            <w:rPr>
              <w:rFonts w:cs="Arial"/>
              <w:b/>
              <w:sz w:val="14"/>
              <w:szCs w:val="16"/>
            </w:rPr>
          </w:pPr>
          <w:r>
            <w:rPr>
              <w:rFonts w:cs="Arial"/>
              <w:b/>
              <w:sz w:val="14"/>
              <w:szCs w:val="16"/>
            </w:rPr>
            <w:t xml:space="preserve">VERSIÓN: </w:t>
          </w:r>
          <w:r w:rsidR="00D24218">
            <w:rPr>
              <w:rFonts w:cs="Arial"/>
              <w:b/>
              <w:sz w:val="14"/>
              <w:szCs w:val="16"/>
            </w:rPr>
            <w:t>4</w:t>
          </w:r>
        </w:p>
      </w:tc>
    </w:tr>
  </w:tbl>
  <w:p w14:paraId="592A9457" w14:textId="77777777" w:rsidR="00635268" w:rsidRPr="00B34504" w:rsidRDefault="00635268" w:rsidP="00B345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406E"/>
    <w:multiLevelType w:val="hybridMultilevel"/>
    <w:tmpl w:val="909AFF16"/>
    <w:lvl w:ilvl="0" w:tplc="290298D4">
      <w:start w:val="1"/>
      <w:numFmt w:val="decimal"/>
      <w:pStyle w:val="ExplFiguraAnexo"/>
      <w:lvlText w:val="Lámina %1."/>
      <w:lvlJc w:val="left"/>
      <w:pPr>
        <w:tabs>
          <w:tab w:val="num" w:pos="113"/>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5837995"/>
    <w:multiLevelType w:val="multilevel"/>
    <w:tmpl w:val="7818C868"/>
    <w:lvl w:ilvl="0">
      <w:start w:val="3"/>
      <w:numFmt w:val="decimal"/>
      <w:lvlText w:val="%1"/>
      <w:lvlJc w:val="left"/>
      <w:pPr>
        <w:tabs>
          <w:tab w:val="num" w:pos="1416"/>
        </w:tabs>
        <w:ind w:left="1416" w:hanging="1416"/>
      </w:pPr>
      <w:rPr>
        <w:rFonts w:hint="default"/>
      </w:rPr>
    </w:lvl>
    <w:lvl w:ilvl="1">
      <w:start w:val="1"/>
      <w:numFmt w:val="decimal"/>
      <w:lvlText w:val="%1.%2"/>
      <w:lvlJc w:val="left"/>
      <w:pPr>
        <w:tabs>
          <w:tab w:val="num" w:pos="1416"/>
        </w:tabs>
        <w:ind w:left="1416" w:hanging="1416"/>
      </w:pPr>
      <w:rPr>
        <w:rFonts w:hint="default"/>
      </w:rPr>
    </w:lvl>
    <w:lvl w:ilvl="2">
      <w:start w:val="1"/>
      <w:numFmt w:val="decimal"/>
      <w:lvlText w:val="%1.%2.%3"/>
      <w:lvlJc w:val="left"/>
      <w:pPr>
        <w:tabs>
          <w:tab w:val="num" w:pos="1416"/>
        </w:tabs>
        <w:ind w:left="1416" w:hanging="1416"/>
      </w:pPr>
      <w:rPr>
        <w:rFonts w:hint="default"/>
      </w:rPr>
    </w:lvl>
    <w:lvl w:ilvl="3">
      <w:start w:val="1"/>
      <w:numFmt w:val="decimal"/>
      <w:pStyle w:val="Nivel4a"/>
      <w:lvlText w:val="%1.%2.%3.%4"/>
      <w:lvlJc w:val="left"/>
      <w:pPr>
        <w:tabs>
          <w:tab w:val="num" w:pos="1440"/>
        </w:tabs>
        <w:ind w:left="1440" w:hanging="1440"/>
      </w:pPr>
      <w:rPr>
        <w:rFonts w:hint="default"/>
      </w:rPr>
    </w:lvl>
    <w:lvl w:ilvl="4">
      <w:start w:val="1"/>
      <w:numFmt w:val="decimal"/>
      <w:pStyle w:val="Nivel5a"/>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2" w15:restartNumberingAfterBreak="0">
    <w:nsid w:val="1A486FD7"/>
    <w:multiLevelType w:val="singleLevel"/>
    <w:tmpl w:val="C5F4ADF8"/>
    <w:lvl w:ilvl="0">
      <w:start w:val="1"/>
      <w:numFmt w:val="bullet"/>
      <w:pStyle w:val="Vietas"/>
      <w:lvlText w:val=""/>
      <w:lvlJc w:val="left"/>
      <w:pPr>
        <w:tabs>
          <w:tab w:val="num" w:pos="360"/>
        </w:tabs>
        <w:ind w:left="360" w:hanging="360"/>
      </w:pPr>
      <w:rPr>
        <w:rFonts w:ascii="Symbol" w:hAnsi="Symbol" w:hint="default"/>
        <w:sz w:val="28"/>
      </w:rPr>
    </w:lvl>
  </w:abstractNum>
  <w:abstractNum w:abstractNumId="3" w15:restartNumberingAfterBreak="0">
    <w:nsid w:val="246D3403"/>
    <w:multiLevelType w:val="hybridMultilevel"/>
    <w:tmpl w:val="2B8AD50E"/>
    <w:lvl w:ilvl="0" w:tplc="71D6C0C8">
      <w:start w:val="1"/>
      <w:numFmt w:val="decimal"/>
      <w:pStyle w:val="ExplFigura"/>
      <w:lvlText w:val="Figura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9FB3713"/>
    <w:multiLevelType w:val="multilevel"/>
    <w:tmpl w:val="0C0A001F"/>
    <w:styleLink w:val="ttulo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CF62FB"/>
    <w:multiLevelType w:val="hybridMultilevel"/>
    <w:tmpl w:val="C1E4EC00"/>
    <w:lvl w:ilvl="0" w:tplc="8240765E">
      <w:start w:val="1"/>
      <w:numFmt w:val="decimal"/>
      <w:pStyle w:val="ExplTabla"/>
      <w:lvlText w:val="Tabla %1."/>
      <w:lvlJc w:val="left"/>
      <w:pPr>
        <w:tabs>
          <w:tab w:val="num" w:pos="2411"/>
        </w:tabs>
        <w:ind w:left="2411" w:firstLine="0"/>
      </w:pPr>
      <w:rPr>
        <w:rFonts w:hint="default"/>
      </w:rPr>
    </w:lvl>
    <w:lvl w:ilvl="1" w:tplc="076E5A7C" w:tentative="1">
      <w:start w:val="1"/>
      <w:numFmt w:val="lowerLetter"/>
      <w:lvlText w:val="%2."/>
      <w:lvlJc w:val="left"/>
      <w:pPr>
        <w:tabs>
          <w:tab w:val="num" w:pos="1440"/>
        </w:tabs>
        <w:ind w:left="1440" w:hanging="360"/>
      </w:pPr>
    </w:lvl>
    <w:lvl w:ilvl="2" w:tplc="A732BAD4" w:tentative="1">
      <w:start w:val="1"/>
      <w:numFmt w:val="lowerRoman"/>
      <w:lvlText w:val="%3."/>
      <w:lvlJc w:val="right"/>
      <w:pPr>
        <w:tabs>
          <w:tab w:val="num" w:pos="2160"/>
        </w:tabs>
        <w:ind w:left="2160" w:hanging="180"/>
      </w:pPr>
    </w:lvl>
    <w:lvl w:ilvl="3" w:tplc="D98A3440" w:tentative="1">
      <w:start w:val="1"/>
      <w:numFmt w:val="decimal"/>
      <w:lvlText w:val="%4."/>
      <w:lvlJc w:val="left"/>
      <w:pPr>
        <w:tabs>
          <w:tab w:val="num" w:pos="2880"/>
        </w:tabs>
        <w:ind w:left="2880" w:hanging="360"/>
      </w:pPr>
    </w:lvl>
    <w:lvl w:ilvl="4" w:tplc="E3EEAA48" w:tentative="1">
      <w:start w:val="1"/>
      <w:numFmt w:val="lowerLetter"/>
      <w:lvlText w:val="%5."/>
      <w:lvlJc w:val="left"/>
      <w:pPr>
        <w:tabs>
          <w:tab w:val="num" w:pos="3600"/>
        </w:tabs>
        <w:ind w:left="3600" w:hanging="360"/>
      </w:pPr>
    </w:lvl>
    <w:lvl w:ilvl="5" w:tplc="417A44B4" w:tentative="1">
      <w:start w:val="1"/>
      <w:numFmt w:val="lowerRoman"/>
      <w:lvlText w:val="%6."/>
      <w:lvlJc w:val="right"/>
      <w:pPr>
        <w:tabs>
          <w:tab w:val="num" w:pos="4320"/>
        </w:tabs>
        <w:ind w:left="4320" w:hanging="180"/>
      </w:pPr>
    </w:lvl>
    <w:lvl w:ilvl="6" w:tplc="3612BDF2" w:tentative="1">
      <w:start w:val="1"/>
      <w:numFmt w:val="decimal"/>
      <w:lvlText w:val="%7."/>
      <w:lvlJc w:val="left"/>
      <w:pPr>
        <w:tabs>
          <w:tab w:val="num" w:pos="5040"/>
        </w:tabs>
        <w:ind w:left="5040" w:hanging="360"/>
      </w:pPr>
    </w:lvl>
    <w:lvl w:ilvl="7" w:tplc="64160C0A" w:tentative="1">
      <w:start w:val="1"/>
      <w:numFmt w:val="lowerLetter"/>
      <w:lvlText w:val="%8."/>
      <w:lvlJc w:val="left"/>
      <w:pPr>
        <w:tabs>
          <w:tab w:val="num" w:pos="5760"/>
        </w:tabs>
        <w:ind w:left="5760" w:hanging="360"/>
      </w:pPr>
    </w:lvl>
    <w:lvl w:ilvl="8" w:tplc="3E8E6230" w:tentative="1">
      <w:start w:val="1"/>
      <w:numFmt w:val="lowerRoman"/>
      <w:lvlText w:val="%9."/>
      <w:lvlJc w:val="right"/>
      <w:pPr>
        <w:tabs>
          <w:tab w:val="num" w:pos="6480"/>
        </w:tabs>
        <w:ind w:left="6480" w:hanging="180"/>
      </w:pPr>
    </w:lvl>
  </w:abstractNum>
  <w:abstractNum w:abstractNumId="6" w15:restartNumberingAfterBreak="0">
    <w:nsid w:val="35C9120A"/>
    <w:multiLevelType w:val="multilevel"/>
    <w:tmpl w:val="F5DA57E2"/>
    <w:lvl w:ilvl="0">
      <w:start w:val="1"/>
      <w:numFmt w:val="decimal"/>
      <w:pStyle w:val="Nivel1"/>
      <w:lvlText w:val="%1."/>
      <w:lvlJc w:val="left"/>
      <w:pPr>
        <w:tabs>
          <w:tab w:val="num" w:pos="1065"/>
        </w:tabs>
        <w:ind w:left="1065" w:hanging="705"/>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7" w15:restartNumberingAfterBreak="0">
    <w:nsid w:val="4E211661"/>
    <w:multiLevelType w:val="hybridMultilevel"/>
    <w:tmpl w:val="7424EF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7136850">
    <w:abstractNumId w:val="2"/>
  </w:num>
  <w:num w:numId="2" w16cid:durableId="671489205">
    <w:abstractNumId w:val="4"/>
  </w:num>
  <w:num w:numId="3" w16cid:durableId="1426729324">
    <w:abstractNumId w:val="1"/>
  </w:num>
  <w:num w:numId="4" w16cid:durableId="1793472523">
    <w:abstractNumId w:val="6"/>
  </w:num>
  <w:num w:numId="5" w16cid:durableId="1353923091">
    <w:abstractNumId w:val="5"/>
  </w:num>
  <w:num w:numId="6" w16cid:durableId="1659069865">
    <w:abstractNumId w:val="3"/>
  </w:num>
  <w:num w:numId="7" w16cid:durableId="1322081232">
    <w:abstractNumId w:val="0"/>
  </w:num>
  <w:num w:numId="8" w16cid:durableId="128700215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VE" w:vendorID="64" w:dllVersion="6" w:nlCheck="1" w:checkStyle="1"/>
  <w:activeWritingStyle w:appName="MSWord" w:lang="es-MX" w:vendorID="64" w:dllVersion="6" w:nlCheck="1" w:checkStyle="1"/>
  <w:activeWritingStyle w:appName="MSWord" w:lang="es-CO"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CO" w:vendorID="64" w:dllVersion="0" w:nlCheck="1" w:checkStyle="0"/>
  <w:activeWritingStyle w:appName="MSWord" w:lang="es-ES" w:vendorID="64" w:dllVersion="0" w:nlCheck="1" w:checkStyle="0"/>
  <w:activeWritingStyle w:appName="MSWord" w:lang="es-VE" w:vendorID="64" w:dllVersion="0" w:nlCheck="1" w:checkStyle="0"/>
  <w:activeWritingStyle w:appName="MSWord" w:lang="es-MX"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A32"/>
    <w:rsid w:val="000012EF"/>
    <w:rsid w:val="00001344"/>
    <w:rsid w:val="000032D9"/>
    <w:rsid w:val="00003724"/>
    <w:rsid w:val="00004FB8"/>
    <w:rsid w:val="00005792"/>
    <w:rsid w:val="000101AF"/>
    <w:rsid w:val="00010205"/>
    <w:rsid w:val="0001038F"/>
    <w:rsid w:val="00010AE5"/>
    <w:rsid w:val="00012424"/>
    <w:rsid w:val="0001339D"/>
    <w:rsid w:val="000143D2"/>
    <w:rsid w:val="00015B8A"/>
    <w:rsid w:val="00015BCC"/>
    <w:rsid w:val="00015F8B"/>
    <w:rsid w:val="0001608F"/>
    <w:rsid w:val="00020B61"/>
    <w:rsid w:val="00020D65"/>
    <w:rsid w:val="000229B9"/>
    <w:rsid w:val="000249BE"/>
    <w:rsid w:val="00024D1F"/>
    <w:rsid w:val="00025F94"/>
    <w:rsid w:val="0003148D"/>
    <w:rsid w:val="00031AAD"/>
    <w:rsid w:val="000354B8"/>
    <w:rsid w:val="00041EA2"/>
    <w:rsid w:val="000430ED"/>
    <w:rsid w:val="000450B3"/>
    <w:rsid w:val="00045269"/>
    <w:rsid w:val="00045565"/>
    <w:rsid w:val="000464E6"/>
    <w:rsid w:val="000501F1"/>
    <w:rsid w:val="000503A0"/>
    <w:rsid w:val="00050F81"/>
    <w:rsid w:val="000535BC"/>
    <w:rsid w:val="0005448D"/>
    <w:rsid w:val="00054E1F"/>
    <w:rsid w:val="000554EC"/>
    <w:rsid w:val="00057677"/>
    <w:rsid w:val="000601F3"/>
    <w:rsid w:val="000605CF"/>
    <w:rsid w:val="00061BA8"/>
    <w:rsid w:val="00061F1B"/>
    <w:rsid w:val="00061F7E"/>
    <w:rsid w:val="000643B5"/>
    <w:rsid w:val="00066AEA"/>
    <w:rsid w:val="00066E4F"/>
    <w:rsid w:val="00070260"/>
    <w:rsid w:val="0007157A"/>
    <w:rsid w:val="000723D7"/>
    <w:rsid w:val="0007270B"/>
    <w:rsid w:val="00080EA6"/>
    <w:rsid w:val="00083765"/>
    <w:rsid w:val="00083E0B"/>
    <w:rsid w:val="00086D2D"/>
    <w:rsid w:val="000903B4"/>
    <w:rsid w:val="000904EE"/>
    <w:rsid w:val="00092612"/>
    <w:rsid w:val="0009275A"/>
    <w:rsid w:val="000928BF"/>
    <w:rsid w:val="00092AF5"/>
    <w:rsid w:val="00093E46"/>
    <w:rsid w:val="00094CD0"/>
    <w:rsid w:val="00094E05"/>
    <w:rsid w:val="00095883"/>
    <w:rsid w:val="0009633D"/>
    <w:rsid w:val="00097406"/>
    <w:rsid w:val="000A0C02"/>
    <w:rsid w:val="000A1A1E"/>
    <w:rsid w:val="000A239A"/>
    <w:rsid w:val="000A4DFC"/>
    <w:rsid w:val="000A524C"/>
    <w:rsid w:val="000A619C"/>
    <w:rsid w:val="000A6FFF"/>
    <w:rsid w:val="000B08E7"/>
    <w:rsid w:val="000B3F04"/>
    <w:rsid w:val="000B5694"/>
    <w:rsid w:val="000B5938"/>
    <w:rsid w:val="000B5CD1"/>
    <w:rsid w:val="000B6DE5"/>
    <w:rsid w:val="000B7467"/>
    <w:rsid w:val="000C3094"/>
    <w:rsid w:val="000C3B19"/>
    <w:rsid w:val="000C5D15"/>
    <w:rsid w:val="000C67B4"/>
    <w:rsid w:val="000C7E84"/>
    <w:rsid w:val="000D0079"/>
    <w:rsid w:val="000D0314"/>
    <w:rsid w:val="000D1146"/>
    <w:rsid w:val="000D1906"/>
    <w:rsid w:val="000D1E4A"/>
    <w:rsid w:val="000D29FC"/>
    <w:rsid w:val="000D387C"/>
    <w:rsid w:val="000D3CEB"/>
    <w:rsid w:val="000D4328"/>
    <w:rsid w:val="000D4956"/>
    <w:rsid w:val="000D70E1"/>
    <w:rsid w:val="000E06B7"/>
    <w:rsid w:val="000E17CE"/>
    <w:rsid w:val="000E5666"/>
    <w:rsid w:val="000E5A01"/>
    <w:rsid w:val="000E5AD1"/>
    <w:rsid w:val="000E71E5"/>
    <w:rsid w:val="000F062F"/>
    <w:rsid w:val="000F1B3B"/>
    <w:rsid w:val="000F2A67"/>
    <w:rsid w:val="000F2C23"/>
    <w:rsid w:val="000F2E21"/>
    <w:rsid w:val="000F324E"/>
    <w:rsid w:val="000F46B6"/>
    <w:rsid w:val="000F6A91"/>
    <w:rsid w:val="000F6F12"/>
    <w:rsid w:val="001005A5"/>
    <w:rsid w:val="00100A42"/>
    <w:rsid w:val="00101566"/>
    <w:rsid w:val="00103FB8"/>
    <w:rsid w:val="00104008"/>
    <w:rsid w:val="00104734"/>
    <w:rsid w:val="00105C92"/>
    <w:rsid w:val="00105D14"/>
    <w:rsid w:val="0010762C"/>
    <w:rsid w:val="001111F9"/>
    <w:rsid w:val="00111686"/>
    <w:rsid w:val="00111F29"/>
    <w:rsid w:val="001123FB"/>
    <w:rsid w:val="00113A65"/>
    <w:rsid w:val="0011474A"/>
    <w:rsid w:val="00115152"/>
    <w:rsid w:val="001158AB"/>
    <w:rsid w:val="00121EAE"/>
    <w:rsid w:val="00123127"/>
    <w:rsid w:val="0012348E"/>
    <w:rsid w:val="001243FD"/>
    <w:rsid w:val="00125480"/>
    <w:rsid w:val="00126378"/>
    <w:rsid w:val="00127D5A"/>
    <w:rsid w:val="00130C44"/>
    <w:rsid w:val="00130E87"/>
    <w:rsid w:val="0013100F"/>
    <w:rsid w:val="00131AF0"/>
    <w:rsid w:val="00131B32"/>
    <w:rsid w:val="00131FF4"/>
    <w:rsid w:val="00132BA2"/>
    <w:rsid w:val="00134525"/>
    <w:rsid w:val="00134FBB"/>
    <w:rsid w:val="001352FB"/>
    <w:rsid w:val="00136068"/>
    <w:rsid w:val="00136D80"/>
    <w:rsid w:val="00137259"/>
    <w:rsid w:val="0013746B"/>
    <w:rsid w:val="00140952"/>
    <w:rsid w:val="001417F7"/>
    <w:rsid w:val="00141B5B"/>
    <w:rsid w:val="00141C37"/>
    <w:rsid w:val="001422CA"/>
    <w:rsid w:val="00142E49"/>
    <w:rsid w:val="0014440D"/>
    <w:rsid w:val="001446F0"/>
    <w:rsid w:val="00145D6E"/>
    <w:rsid w:val="00146B59"/>
    <w:rsid w:val="00150E3A"/>
    <w:rsid w:val="00151372"/>
    <w:rsid w:val="00151515"/>
    <w:rsid w:val="00151AB4"/>
    <w:rsid w:val="0015278D"/>
    <w:rsid w:val="00154B22"/>
    <w:rsid w:val="00154E7D"/>
    <w:rsid w:val="00155B41"/>
    <w:rsid w:val="00156819"/>
    <w:rsid w:val="00156B6D"/>
    <w:rsid w:val="00156D45"/>
    <w:rsid w:val="00157E56"/>
    <w:rsid w:val="001618ED"/>
    <w:rsid w:val="00162615"/>
    <w:rsid w:val="00164036"/>
    <w:rsid w:val="00164B90"/>
    <w:rsid w:val="00164CDB"/>
    <w:rsid w:val="0016531D"/>
    <w:rsid w:val="00165E29"/>
    <w:rsid w:val="00167201"/>
    <w:rsid w:val="00167519"/>
    <w:rsid w:val="00171372"/>
    <w:rsid w:val="00171A1B"/>
    <w:rsid w:val="00172B1F"/>
    <w:rsid w:val="0017331B"/>
    <w:rsid w:val="001739BB"/>
    <w:rsid w:val="001748E2"/>
    <w:rsid w:val="0017607C"/>
    <w:rsid w:val="00177357"/>
    <w:rsid w:val="00177C80"/>
    <w:rsid w:val="00180F7D"/>
    <w:rsid w:val="0018105F"/>
    <w:rsid w:val="00183013"/>
    <w:rsid w:val="00183539"/>
    <w:rsid w:val="00183E35"/>
    <w:rsid w:val="0018651D"/>
    <w:rsid w:val="001913E1"/>
    <w:rsid w:val="00191841"/>
    <w:rsid w:val="001918DC"/>
    <w:rsid w:val="0019313E"/>
    <w:rsid w:val="00193232"/>
    <w:rsid w:val="001934CE"/>
    <w:rsid w:val="00193B28"/>
    <w:rsid w:val="00194C16"/>
    <w:rsid w:val="00195ED9"/>
    <w:rsid w:val="00197412"/>
    <w:rsid w:val="00197DA5"/>
    <w:rsid w:val="001A094F"/>
    <w:rsid w:val="001A0B30"/>
    <w:rsid w:val="001A0E18"/>
    <w:rsid w:val="001A33A0"/>
    <w:rsid w:val="001A35D5"/>
    <w:rsid w:val="001A4922"/>
    <w:rsid w:val="001A7745"/>
    <w:rsid w:val="001A7950"/>
    <w:rsid w:val="001B0A19"/>
    <w:rsid w:val="001B2627"/>
    <w:rsid w:val="001B286B"/>
    <w:rsid w:val="001B375D"/>
    <w:rsid w:val="001B7867"/>
    <w:rsid w:val="001C0FAB"/>
    <w:rsid w:val="001C420F"/>
    <w:rsid w:val="001C5DE7"/>
    <w:rsid w:val="001C6D1A"/>
    <w:rsid w:val="001D112B"/>
    <w:rsid w:val="001D185F"/>
    <w:rsid w:val="001D2705"/>
    <w:rsid w:val="001D3158"/>
    <w:rsid w:val="001D3EB8"/>
    <w:rsid w:val="001D504E"/>
    <w:rsid w:val="001D5887"/>
    <w:rsid w:val="001D67E3"/>
    <w:rsid w:val="001D6B6A"/>
    <w:rsid w:val="001D729F"/>
    <w:rsid w:val="001E001D"/>
    <w:rsid w:val="001E0BA4"/>
    <w:rsid w:val="001E1A7C"/>
    <w:rsid w:val="001E21FA"/>
    <w:rsid w:val="001E2CA3"/>
    <w:rsid w:val="001E2D36"/>
    <w:rsid w:val="001E2D9F"/>
    <w:rsid w:val="001E2DD7"/>
    <w:rsid w:val="001E37D4"/>
    <w:rsid w:val="001E3FEA"/>
    <w:rsid w:val="001E6DA3"/>
    <w:rsid w:val="001E72D2"/>
    <w:rsid w:val="001E78DF"/>
    <w:rsid w:val="001F011C"/>
    <w:rsid w:val="001F1ACD"/>
    <w:rsid w:val="001F1F2C"/>
    <w:rsid w:val="001F20F4"/>
    <w:rsid w:val="001F54FC"/>
    <w:rsid w:val="001F698C"/>
    <w:rsid w:val="002010BD"/>
    <w:rsid w:val="00203449"/>
    <w:rsid w:val="00204254"/>
    <w:rsid w:val="0021011A"/>
    <w:rsid w:val="002108A5"/>
    <w:rsid w:val="00210993"/>
    <w:rsid w:val="00210FB0"/>
    <w:rsid w:val="002113F2"/>
    <w:rsid w:val="00211688"/>
    <w:rsid w:val="00212671"/>
    <w:rsid w:val="0021340D"/>
    <w:rsid w:val="00213D79"/>
    <w:rsid w:val="00214697"/>
    <w:rsid w:val="002171DF"/>
    <w:rsid w:val="00217E83"/>
    <w:rsid w:val="002233B2"/>
    <w:rsid w:val="00223D9A"/>
    <w:rsid w:val="002242FA"/>
    <w:rsid w:val="00225C13"/>
    <w:rsid w:val="002266EA"/>
    <w:rsid w:val="00230051"/>
    <w:rsid w:val="00230273"/>
    <w:rsid w:val="0023115C"/>
    <w:rsid w:val="002312D8"/>
    <w:rsid w:val="002322AE"/>
    <w:rsid w:val="002334A5"/>
    <w:rsid w:val="00233C3E"/>
    <w:rsid w:val="00234713"/>
    <w:rsid w:val="00234910"/>
    <w:rsid w:val="002355F4"/>
    <w:rsid w:val="00235A09"/>
    <w:rsid w:val="00235CB9"/>
    <w:rsid w:val="00237AF3"/>
    <w:rsid w:val="00240724"/>
    <w:rsid w:val="002408A7"/>
    <w:rsid w:val="00241CD8"/>
    <w:rsid w:val="00241F7D"/>
    <w:rsid w:val="00242E07"/>
    <w:rsid w:val="00244F9C"/>
    <w:rsid w:val="00245591"/>
    <w:rsid w:val="002459E9"/>
    <w:rsid w:val="002463AC"/>
    <w:rsid w:val="00246D9B"/>
    <w:rsid w:val="00247292"/>
    <w:rsid w:val="002473D0"/>
    <w:rsid w:val="00250247"/>
    <w:rsid w:val="00250D4E"/>
    <w:rsid w:val="00251107"/>
    <w:rsid w:val="002528CB"/>
    <w:rsid w:val="00252BB6"/>
    <w:rsid w:val="0025356A"/>
    <w:rsid w:val="0025445D"/>
    <w:rsid w:val="00255041"/>
    <w:rsid w:val="0025634F"/>
    <w:rsid w:val="002610DC"/>
    <w:rsid w:val="002613FA"/>
    <w:rsid w:val="00265A78"/>
    <w:rsid w:val="00265D63"/>
    <w:rsid w:val="00266CC5"/>
    <w:rsid w:val="0026739E"/>
    <w:rsid w:val="00270755"/>
    <w:rsid w:val="00270917"/>
    <w:rsid w:val="00273C11"/>
    <w:rsid w:val="00274037"/>
    <w:rsid w:val="0027440B"/>
    <w:rsid w:val="00276E1C"/>
    <w:rsid w:val="00276F4F"/>
    <w:rsid w:val="00281480"/>
    <w:rsid w:val="002817C9"/>
    <w:rsid w:val="00282ACC"/>
    <w:rsid w:val="00282C48"/>
    <w:rsid w:val="002830C5"/>
    <w:rsid w:val="00285E62"/>
    <w:rsid w:val="00285EF7"/>
    <w:rsid w:val="00286B52"/>
    <w:rsid w:val="00287053"/>
    <w:rsid w:val="002871E7"/>
    <w:rsid w:val="00290014"/>
    <w:rsid w:val="002938E7"/>
    <w:rsid w:val="00294B02"/>
    <w:rsid w:val="00295EEC"/>
    <w:rsid w:val="00297222"/>
    <w:rsid w:val="002A121C"/>
    <w:rsid w:val="002A1A3C"/>
    <w:rsid w:val="002A1F1D"/>
    <w:rsid w:val="002A21F2"/>
    <w:rsid w:val="002A2AE6"/>
    <w:rsid w:val="002A3499"/>
    <w:rsid w:val="002A4A6C"/>
    <w:rsid w:val="002A6757"/>
    <w:rsid w:val="002A6FCE"/>
    <w:rsid w:val="002A75A2"/>
    <w:rsid w:val="002B1BD8"/>
    <w:rsid w:val="002B2284"/>
    <w:rsid w:val="002B22DA"/>
    <w:rsid w:val="002B2B68"/>
    <w:rsid w:val="002B326B"/>
    <w:rsid w:val="002B3831"/>
    <w:rsid w:val="002B3E99"/>
    <w:rsid w:val="002B3EF8"/>
    <w:rsid w:val="002B4F93"/>
    <w:rsid w:val="002B5090"/>
    <w:rsid w:val="002B6169"/>
    <w:rsid w:val="002B6695"/>
    <w:rsid w:val="002C04CB"/>
    <w:rsid w:val="002C1EB8"/>
    <w:rsid w:val="002C1FAD"/>
    <w:rsid w:val="002C3140"/>
    <w:rsid w:val="002C4699"/>
    <w:rsid w:val="002C516D"/>
    <w:rsid w:val="002C5574"/>
    <w:rsid w:val="002C674D"/>
    <w:rsid w:val="002C6BE3"/>
    <w:rsid w:val="002C78B4"/>
    <w:rsid w:val="002C7943"/>
    <w:rsid w:val="002C7F24"/>
    <w:rsid w:val="002D07DD"/>
    <w:rsid w:val="002D0D0A"/>
    <w:rsid w:val="002D21F4"/>
    <w:rsid w:val="002D2E68"/>
    <w:rsid w:val="002D330B"/>
    <w:rsid w:val="002D3C58"/>
    <w:rsid w:val="002D46AA"/>
    <w:rsid w:val="002D5F10"/>
    <w:rsid w:val="002D6C12"/>
    <w:rsid w:val="002D73F1"/>
    <w:rsid w:val="002D7402"/>
    <w:rsid w:val="002D7BA3"/>
    <w:rsid w:val="002E0F54"/>
    <w:rsid w:val="002E3FC4"/>
    <w:rsid w:val="002E5098"/>
    <w:rsid w:val="002F0968"/>
    <w:rsid w:val="002F0D07"/>
    <w:rsid w:val="002F21F7"/>
    <w:rsid w:val="002F3A4F"/>
    <w:rsid w:val="002F62F4"/>
    <w:rsid w:val="002F6388"/>
    <w:rsid w:val="002F638E"/>
    <w:rsid w:val="003011DD"/>
    <w:rsid w:val="0030147A"/>
    <w:rsid w:val="0030268C"/>
    <w:rsid w:val="003039F0"/>
    <w:rsid w:val="00303AF0"/>
    <w:rsid w:val="003063DB"/>
    <w:rsid w:val="00307249"/>
    <w:rsid w:val="00307B11"/>
    <w:rsid w:val="00311060"/>
    <w:rsid w:val="00312400"/>
    <w:rsid w:val="00312F13"/>
    <w:rsid w:val="003138EF"/>
    <w:rsid w:val="00313988"/>
    <w:rsid w:val="0031532E"/>
    <w:rsid w:val="00315612"/>
    <w:rsid w:val="0031769A"/>
    <w:rsid w:val="00320275"/>
    <w:rsid w:val="003205DB"/>
    <w:rsid w:val="00320E18"/>
    <w:rsid w:val="00320E45"/>
    <w:rsid w:val="00321E63"/>
    <w:rsid w:val="0032380D"/>
    <w:rsid w:val="00326012"/>
    <w:rsid w:val="00326F85"/>
    <w:rsid w:val="00327C71"/>
    <w:rsid w:val="003308C2"/>
    <w:rsid w:val="0033105F"/>
    <w:rsid w:val="00331137"/>
    <w:rsid w:val="0033211C"/>
    <w:rsid w:val="0033249F"/>
    <w:rsid w:val="00333513"/>
    <w:rsid w:val="0033410B"/>
    <w:rsid w:val="00340367"/>
    <w:rsid w:val="00341C8B"/>
    <w:rsid w:val="00341DD0"/>
    <w:rsid w:val="00343EF4"/>
    <w:rsid w:val="00350A9D"/>
    <w:rsid w:val="003517DE"/>
    <w:rsid w:val="00352C36"/>
    <w:rsid w:val="00352ECF"/>
    <w:rsid w:val="00354BEB"/>
    <w:rsid w:val="00354E7F"/>
    <w:rsid w:val="00356A1E"/>
    <w:rsid w:val="00357BF9"/>
    <w:rsid w:val="00361E60"/>
    <w:rsid w:val="0036230A"/>
    <w:rsid w:val="0036243C"/>
    <w:rsid w:val="003625BD"/>
    <w:rsid w:val="00362BF7"/>
    <w:rsid w:val="00363036"/>
    <w:rsid w:val="003637AA"/>
    <w:rsid w:val="00363EDC"/>
    <w:rsid w:val="0036574D"/>
    <w:rsid w:val="00365F54"/>
    <w:rsid w:val="0036743F"/>
    <w:rsid w:val="003674CB"/>
    <w:rsid w:val="0036784E"/>
    <w:rsid w:val="00367C56"/>
    <w:rsid w:val="00370FD8"/>
    <w:rsid w:val="0037173E"/>
    <w:rsid w:val="00372B87"/>
    <w:rsid w:val="0037435B"/>
    <w:rsid w:val="00374568"/>
    <w:rsid w:val="00375613"/>
    <w:rsid w:val="00375FB6"/>
    <w:rsid w:val="00377D14"/>
    <w:rsid w:val="003817E6"/>
    <w:rsid w:val="0038502A"/>
    <w:rsid w:val="003860BE"/>
    <w:rsid w:val="0038715F"/>
    <w:rsid w:val="00387876"/>
    <w:rsid w:val="00390B35"/>
    <w:rsid w:val="00393CFC"/>
    <w:rsid w:val="00395897"/>
    <w:rsid w:val="003964E2"/>
    <w:rsid w:val="003A0017"/>
    <w:rsid w:val="003A012A"/>
    <w:rsid w:val="003A050D"/>
    <w:rsid w:val="003A06D5"/>
    <w:rsid w:val="003A0A00"/>
    <w:rsid w:val="003A1196"/>
    <w:rsid w:val="003A2C40"/>
    <w:rsid w:val="003A2CF0"/>
    <w:rsid w:val="003A339B"/>
    <w:rsid w:val="003A3B13"/>
    <w:rsid w:val="003A42B8"/>
    <w:rsid w:val="003A4308"/>
    <w:rsid w:val="003A4C24"/>
    <w:rsid w:val="003B0C5F"/>
    <w:rsid w:val="003B2E9F"/>
    <w:rsid w:val="003B401E"/>
    <w:rsid w:val="003B41C6"/>
    <w:rsid w:val="003B44FB"/>
    <w:rsid w:val="003B56E9"/>
    <w:rsid w:val="003B6A3C"/>
    <w:rsid w:val="003B6D82"/>
    <w:rsid w:val="003B6EF0"/>
    <w:rsid w:val="003C0DC3"/>
    <w:rsid w:val="003C12FA"/>
    <w:rsid w:val="003C1350"/>
    <w:rsid w:val="003C1F35"/>
    <w:rsid w:val="003C259E"/>
    <w:rsid w:val="003C2730"/>
    <w:rsid w:val="003C29D3"/>
    <w:rsid w:val="003C30D9"/>
    <w:rsid w:val="003C664B"/>
    <w:rsid w:val="003C723D"/>
    <w:rsid w:val="003C72DC"/>
    <w:rsid w:val="003C755C"/>
    <w:rsid w:val="003D0D98"/>
    <w:rsid w:val="003D0ED7"/>
    <w:rsid w:val="003D0FBF"/>
    <w:rsid w:val="003D12D1"/>
    <w:rsid w:val="003D176C"/>
    <w:rsid w:val="003D30E7"/>
    <w:rsid w:val="003D3A9C"/>
    <w:rsid w:val="003D44E8"/>
    <w:rsid w:val="003D51FE"/>
    <w:rsid w:val="003D6AD7"/>
    <w:rsid w:val="003D7AF2"/>
    <w:rsid w:val="003E310F"/>
    <w:rsid w:val="003E4ABB"/>
    <w:rsid w:val="003E66D3"/>
    <w:rsid w:val="003E719A"/>
    <w:rsid w:val="003E7BDD"/>
    <w:rsid w:val="003F06BD"/>
    <w:rsid w:val="003F0738"/>
    <w:rsid w:val="003F0D2A"/>
    <w:rsid w:val="003F1077"/>
    <w:rsid w:val="003F13A7"/>
    <w:rsid w:val="003F2337"/>
    <w:rsid w:val="003F318A"/>
    <w:rsid w:val="003F4D0D"/>
    <w:rsid w:val="003F52EB"/>
    <w:rsid w:val="003F6736"/>
    <w:rsid w:val="003F6B84"/>
    <w:rsid w:val="003F6FB6"/>
    <w:rsid w:val="003F7660"/>
    <w:rsid w:val="00404FF4"/>
    <w:rsid w:val="004052D8"/>
    <w:rsid w:val="004065CA"/>
    <w:rsid w:val="00407CE3"/>
    <w:rsid w:val="004109CB"/>
    <w:rsid w:val="0041377B"/>
    <w:rsid w:val="00413CC4"/>
    <w:rsid w:val="00414FE9"/>
    <w:rsid w:val="00415ABE"/>
    <w:rsid w:val="00415B04"/>
    <w:rsid w:val="00416AC2"/>
    <w:rsid w:val="00417396"/>
    <w:rsid w:val="00420EB1"/>
    <w:rsid w:val="00421ABD"/>
    <w:rsid w:val="00422602"/>
    <w:rsid w:val="004230AE"/>
    <w:rsid w:val="004247D0"/>
    <w:rsid w:val="004256BD"/>
    <w:rsid w:val="00425B84"/>
    <w:rsid w:val="00425FB0"/>
    <w:rsid w:val="00427182"/>
    <w:rsid w:val="0043212A"/>
    <w:rsid w:val="00433585"/>
    <w:rsid w:val="00434765"/>
    <w:rsid w:val="00434C26"/>
    <w:rsid w:val="00434D2D"/>
    <w:rsid w:val="00436032"/>
    <w:rsid w:val="00441DE8"/>
    <w:rsid w:val="00445A83"/>
    <w:rsid w:val="004467FF"/>
    <w:rsid w:val="004524D9"/>
    <w:rsid w:val="00452838"/>
    <w:rsid w:val="0045412A"/>
    <w:rsid w:val="00455000"/>
    <w:rsid w:val="004553E0"/>
    <w:rsid w:val="004555F9"/>
    <w:rsid w:val="00457D0C"/>
    <w:rsid w:val="004622CF"/>
    <w:rsid w:val="00462358"/>
    <w:rsid w:val="00463EB1"/>
    <w:rsid w:val="004648BD"/>
    <w:rsid w:val="004655D1"/>
    <w:rsid w:val="004655D7"/>
    <w:rsid w:val="00465BA8"/>
    <w:rsid w:val="00465E99"/>
    <w:rsid w:val="0046683E"/>
    <w:rsid w:val="004707C3"/>
    <w:rsid w:val="00470EFD"/>
    <w:rsid w:val="00470FE8"/>
    <w:rsid w:val="0047392A"/>
    <w:rsid w:val="00473BAE"/>
    <w:rsid w:val="004742D9"/>
    <w:rsid w:val="00474AD1"/>
    <w:rsid w:val="00475ED9"/>
    <w:rsid w:val="0047685E"/>
    <w:rsid w:val="00476F78"/>
    <w:rsid w:val="00477398"/>
    <w:rsid w:val="00477B66"/>
    <w:rsid w:val="0048077B"/>
    <w:rsid w:val="00483675"/>
    <w:rsid w:val="004843C0"/>
    <w:rsid w:val="00487022"/>
    <w:rsid w:val="00490232"/>
    <w:rsid w:val="00490496"/>
    <w:rsid w:val="00490CEA"/>
    <w:rsid w:val="00490F5B"/>
    <w:rsid w:val="0049202F"/>
    <w:rsid w:val="00493B71"/>
    <w:rsid w:val="00494FF1"/>
    <w:rsid w:val="0049506A"/>
    <w:rsid w:val="00495105"/>
    <w:rsid w:val="00497C21"/>
    <w:rsid w:val="004A0CE4"/>
    <w:rsid w:val="004A13CB"/>
    <w:rsid w:val="004A206D"/>
    <w:rsid w:val="004A4A99"/>
    <w:rsid w:val="004A6583"/>
    <w:rsid w:val="004A6A00"/>
    <w:rsid w:val="004A6F9B"/>
    <w:rsid w:val="004A6FEB"/>
    <w:rsid w:val="004B16D1"/>
    <w:rsid w:val="004B186C"/>
    <w:rsid w:val="004B1D66"/>
    <w:rsid w:val="004B4F18"/>
    <w:rsid w:val="004B6014"/>
    <w:rsid w:val="004B60C5"/>
    <w:rsid w:val="004B721E"/>
    <w:rsid w:val="004B7613"/>
    <w:rsid w:val="004B77CA"/>
    <w:rsid w:val="004C00EB"/>
    <w:rsid w:val="004C106C"/>
    <w:rsid w:val="004C1D1F"/>
    <w:rsid w:val="004C3057"/>
    <w:rsid w:val="004C34BD"/>
    <w:rsid w:val="004C3730"/>
    <w:rsid w:val="004C7778"/>
    <w:rsid w:val="004D3660"/>
    <w:rsid w:val="004D4EB5"/>
    <w:rsid w:val="004D4F27"/>
    <w:rsid w:val="004D52C2"/>
    <w:rsid w:val="004D7497"/>
    <w:rsid w:val="004E170E"/>
    <w:rsid w:val="004E2E51"/>
    <w:rsid w:val="004E4FE6"/>
    <w:rsid w:val="004E664C"/>
    <w:rsid w:val="004F310C"/>
    <w:rsid w:val="004F31DB"/>
    <w:rsid w:val="004F3EC2"/>
    <w:rsid w:val="004F451B"/>
    <w:rsid w:val="004F4603"/>
    <w:rsid w:val="004F56CD"/>
    <w:rsid w:val="004F5C12"/>
    <w:rsid w:val="004F5F84"/>
    <w:rsid w:val="004F5FD3"/>
    <w:rsid w:val="004F7DF4"/>
    <w:rsid w:val="004F7F2E"/>
    <w:rsid w:val="005002AA"/>
    <w:rsid w:val="00501B7D"/>
    <w:rsid w:val="00505000"/>
    <w:rsid w:val="0050647F"/>
    <w:rsid w:val="00506E1E"/>
    <w:rsid w:val="005076E9"/>
    <w:rsid w:val="0051152E"/>
    <w:rsid w:val="0051165E"/>
    <w:rsid w:val="00513AD0"/>
    <w:rsid w:val="00514740"/>
    <w:rsid w:val="00514F62"/>
    <w:rsid w:val="00515643"/>
    <w:rsid w:val="00516C1D"/>
    <w:rsid w:val="005206FE"/>
    <w:rsid w:val="00520FAB"/>
    <w:rsid w:val="005222AA"/>
    <w:rsid w:val="005222D8"/>
    <w:rsid w:val="005227DF"/>
    <w:rsid w:val="00523348"/>
    <w:rsid w:val="00525E66"/>
    <w:rsid w:val="005274F2"/>
    <w:rsid w:val="00527E5D"/>
    <w:rsid w:val="00530659"/>
    <w:rsid w:val="00530792"/>
    <w:rsid w:val="00531412"/>
    <w:rsid w:val="005320F6"/>
    <w:rsid w:val="00533B78"/>
    <w:rsid w:val="00533EB8"/>
    <w:rsid w:val="0053411A"/>
    <w:rsid w:val="00535491"/>
    <w:rsid w:val="00535B55"/>
    <w:rsid w:val="00543D5E"/>
    <w:rsid w:val="00545C10"/>
    <w:rsid w:val="00545D00"/>
    <w:rsid w:val="00545F82"/>
    <w:rsid w:val="00546A01"/>
    <w:rsid w:val="00546BAD"/>
    <w:rsid w:val="00547F03"/>
    <w:rsid w:val="00552490"/>
    <w:rsid w:val="00552A42"/>
    <w:rsid w:val="00553A18"/>
    <w:rsid w:val="00553D6C"/>
    <w:rsid w:val="00554E1D"/>
    <w:rsid w:val="00560224"/>
    <w:rsid w:val="00560324"/>
    <w:rsid w:val="00560C24"/>
    <w:rsid w:val="0056116D"/>
    <w:rsid w:val="00562F3D"/>
    <w:rsid w:val="0056458E"/>
    <w:rsid w:val="005660AC"/>
    <w:rsid w:val="00566A3B"/>
    <w:rsid w:val="0056788B"/>
    <w:rsid w:val="00567A70"/>
    <w:rsid w:val="00570611"/>
    <w:rsid w:val="005711C9"/>
    <w:rsid w:val="00571423"/>
    <w:rsid w:val="00571CD3"/>
    <w:rsid w:val="00572E23"/>
    <w:rsid w:val="0057365D"/>
    <w:rsid w:val="00575CD9"/>
    <w:rsid w:val="00576176"/>
    <w:rsid w:val="0057651F"/>
    <w:rsid w:val="00581C36"/>
    <w:rsid w:val="00581EAB"/>
    <w:rsid w:val="0058245D"/>
    <w:rsid w:val="005834A1"/>
    <w:rsid w:val="00583A7E"/>
    <w:rsid w:val="00584BA2"/>
    <w:rsid w:val="00585A55"/>
    <w:rsid w:val="00586212"/>
    <w:rsid w:val="00587DC2"/>
    <w:rsid w:val="00591F91"/>
    <w:rsid w:val="0059228B"/>
    <w:rsid w:val="00592B9D"/>
    <w:rsid w:val="0059310D"/>
    <w:rsid w:val="00593948"/>
    <w:rsid w:val="00595000"/>
    <w:rsid w:val="00595077"/>
    <w:rsid w:val="005952D4"/>
    <w:rsid w:val="0059775E"/>
    <w:rsid w:val="005A13EF"/>
    <w:rsid w:val="005A4133"/>
    <w:rsid w:val="005A4B59"/>
    <w:rsid w:val="005A7F7D"/>
    <w:rsid w:val="005B0169"/>
    <w:rsid w:val="005B05EA"/>
    <w:rsid w:val="005B1029"/>
    <w:rsid w:val="005B1840"/>
    <w:rsid w:val="005B1C91"/>
    <w:rsid w:val="005B1C97"/>
    <w:rsid w:val="005B2B10"/>
    <w:rsid w:val="005B2B6C"/>
    <w:rsid w:val="005B38C6"/>
    <w:rsid w:val="005B3E2F"/>
    <w:rsid w:val="005B413F"/>
    <w:rsid w:val="005B41ED"/>
    <w:rsid w:val="005B5439"/>
    <w:rsid w:val="005B6153"/>
    <w:rsid w:val="005B7026"/>
    <w:rsid w:val="005B7572"/>
    <w:rsid w:val="005C351C"/>
    <w:rsid w:val="005C4375"/>
    <w:rsid w:val="005C4B1B"/>
    <w:rsid w:val="005C6134"/>
    <w:rsid w:val="005C7076"/>
    <w:rsid w:val="005C7868"/>
    <w:rsid w:val="005D257B"/>
    <w:rsid w:val="005D39F6"/>
    <w:rsid w:val="005D421B"/>
    <w:rsid w:val="005D4664"/>
    <w:rsid w:val="005D5284"/>
    <w:rsid w:val="005D687F"/>
    <w:rsid w:val="005D7B7C"/>
    <w:rsid w:val="005E0E02"/>
    <w:rsid w:val="005E2D62"/>
    <w:rsid w:val="005E5A11"/>
    <w:rsid w:val="005E6B43"/>
    <w:rsid w:val="005E7913"/>
    <w:rsid w:val="005E7BE0"/>
    <w:rsid w:val="005F14B4"/>
    <w:rsid w:val="005F2DF8"/>
    <w:rsid w:val="005F3100"/>
    <w:rsid w:val="005F3AB5"/>
    <w:rsid w:val="005F3C96"/>
    <w:rsid w:val="005F3CA2"/>
    <w:rsid w:val="005F4FD5"/>
    <w:rsid w:val="005F5397"/>
    <w:rsid w:val="005F6BAF"/>
    <w:rsid w:val="005F6DD9"/>
    <w:rsid w:val="005F7FD9"/>
    <w:rsid w:val="0060350E"/>
    <w:rsid w:val="00603967"/>
    <w:rsid w:val="00604B04"/>
    <w:rsid w:val="00605231"/>
    <w:rsid w:val="00605A19"/>
    <w:rsid w:val="00605E69"/>
    <w:rsid w:val="0060622C"/>
    <w:rsid w:val="006068D5"/>
    <w:rsid w:val="006069B4"/>
    <w:rsid w:val="0060725B"/>
    <w:rsid w:val="00607B87"/>
    <w:rsid w:val="00610EC2"/>
    <w:rsid w:val="006123D1"/>
    <w:rsid w:val="00613A70"/>
    <w:rsid w:val="00615512"/>
    <w:rsid w:val="0061583F"/>
    <w:rsid w:val="0061584B"/>
    <w:rsid w:val="006161D8"/>
    <w:rsid w:val="006166F9"/>
    <w:rsid w:val="00616A4E"/>
    <w:rsid w:val="00617161"/>
    <w:rsid w:val="00621BC9"/>
    <w:rsid w:val="00623EA2"/>
    <w:rsid w:val="00625537"/>
    <w:rsid w:val="006259DF"/>
    <w:rsid w:val="00626066"/>
    <w:rsid w:val="00626DF1"/>
    <w:rsid w:val="006274B9"/>
    <w:rsid w:val="006304B9"/>
    <w:rsid w:val="00630780"/>
    <w:rsid w:val="00630EB1"/>
    <w:rsid w:val="0063169B"/>
    <w:rsid w:val="00632AD3"/>
    <w:rsid w:val="00633751"/>
    <w:rsid w:val="006341B8"/>
    <w:rsid w:val="00634896"/>
    <w:rsid w:val="00634E8B"/>
    <w:rsid w:val="00635268"/>
    <w:rsid w:val="00637335"/>
    <w:rsid w:val="00640560"/>
    <w:rsid w:val="006405CA"/>
    <w:rsid w:val="00640B51"/>
    <w:rsid w:val="00640D70"/>
    <w:rsid w:val="00644B6A"/>
    <w:rsid w:val="00645E71"/>
    <w:rsid w:val="00646A01"/>
    <w:rsid w:val="006477BA"/>
    <w:rsid w:val="00647ECA"/>
    <w:rsid w:val="00650950"/>
    <w:rsid w:val="00650EDF"/>
    <w:rsid w:val="00651302"/>
    <w:rsid w:val="00651A6B"/>
    <w:rsid w:val="006524E8"/>
    <w:rsid w:val="00652939"/>
    <w:rsid w:val="00653ED3"/>
    <w:rsid w:val="0065431C"/>
    <w:rsid w:val="006575C5"/>
    <w:rsid w:val="00660584"/>
    <w:rsid w:val="006619E4"/>
    <w:rsid w:val="0066205E"/>
    <w:rsid w:val="0066535E"/>
    <w:rsid w:val="00666F20"/>
    <w:rsid w:val="0066725E"/>
    <w:rsid w:val="0066783B"/>
    <w:rsid w:val="006757E1"/>
    <w:rsid w:val="0067652E"/>
    <w:rsid w:val="006778B9"/>
    <w:rsid w:val="006801F3"/>
    <w:rsid w:val="006802F6"/>
    <w:rsid w:val="00680FFD"/>
    <w:rsid w:val="00681CCF"/>
    <w:rsid w:val="00683AAD"/>
    <w:rsid w:val="0068439C"/>
    <w:rsid w:val="00685737"/>
    <w:rsid w:val="006862E9"/>
    <w:rsid w:val="006870A4"/>
    <w:rsid w:val="00687184"/>
    <w:rsid w:val="00687817"/>
    <w:rsid w:val="00687EA5"/>
    <w:rsid w:val="00694571"/>
    <w:rsid w:val="0069481B"/>
    <w:rsid w:val="00694E69"/>
    <w:rsid w:val="0069597F"/>
    <w:rsid w:val="00695B53"/>
    <w:rsid w:val="006A0673"/>
    <w:rsid w:val="006A108C"/>
    <w:rsid w:val="006A1DAE"/>
    <w:rsid w:val="006A2A49"/>
    <w:rsid w:val="006A2BD1"/>
    <w:rsid w:val="006A433E"/>
    <w:rsid w:val="006A43FF"/>
    <w:rsid w:val="006A4AAB"/>
    <w:rsid w:val="006A6BFE"/>
    <w:rsid w:val="006A7F11"/>
    <w:rsid w:val="006B2101"/>
    <w:rsid w:val="006B38B4"/>
    <w:rsid w:val="006B3CFE"/>
    <w:rsid w:val="006B58EA"/>
    <w:rsid w:val="006B731D"/>
    <w:rsid w:val="006B7A77"/>
    <w:rsid w:val="006B7D9B"/>
    <w:rsid w:val="006B7DBF"/>
    <w:rsid w:val="006C22D8"/>
    <w:rsid w:val="006C2975"/>
    <w:rsid w:val="006C38FC"/>
    <w:rsid w:val="006C50E5"/>
    <w:rsid w:val="006C518F"/>
    <w:rsid w:val="006C650B"/>
    <w:rsid w:val="006C694E"/>
    <w:rsid w:val="006C6DB9"/>
    <w:rsid w:val="006D01E1"/>
    <w:rsid w:val="006D1DC4"/>
    <w:rsid w:val="006D2BD0"/>
    <w:rsid w:val="006D3378"/>
    <w:rsid w:val="006D3932"/>
    <w:rsid w:val="006D3937"/>
    <w:rsid w:val="006D76ED"/>
    <w:rsid w:val="006E0184"/>
    <w:rsid w:val="006E0EA1"/>
    <w:rsid w:val="006E0EC1"/>
    <w:rsid w:val="006E341A"/>
    <w:rsid w:val="006E41C6"/>
    <w:rsid w:val="006E5412"/>
    <w:rsid w:val="006E57F9"/>
    <w:rsid w:val="006E6B1F"/>
    <w:rsid w:val="006E7150"/>
    <w:rsid w:val="006F1093"/>
    <w:rsid w:val="006F2910"/>
    <w:rsid w:val="006F4116"/>
    <w:rsid w:val="006F5254"/>
    <w:rsid w:val="006F5B3A"/>
    <w:rsid w:val="006F6312"/>
    <w:rsid w:val="006F7764"/>
    <w:rsid w:val="007006D6"/>
    <w:rsid w:val="0070109D"/>
    <w:rsid w:val="007011BA"/>
    <w:rsid w:val="00701DD5"/>
    <w:rsid w:val="007021FF"/>
    <w:rsid w:val="007032E1"/>
    <w:rsid w:val="00705FDF"/>
    <w:rsid w:val="007061BC"/>
    <w:rsid w:val="00707120"/>
    <w:rsid w:val="007101A0"/>
    <w:rsid w:val="0071068C"/>
    <w:rsid w:val="00712262"/>
    <w:rsid w:val="00712B33"/>
    <w:rsid w:val="00714510"/>
    <w:rsid w:val="00715D80"/>
    <w:rsid w:val="00715EE1"/>
    <w:rsid w:val="00715F47"/>
    <w:rsid w:val="00716586"/>
    <w:rsid w:val="00721009"/>
    <w:rsid w:val="007218FB"/>
    <w:rsid w:val="00722DA2"/>
    <w:rsid w:val="00726CC1"/>
    <w:rsid w:val="00731AC3"/>
    <w:rsid w:val="00733BC4"/>
    <w:rsid w:val="007342AB"/>
    <w:rsid w:val="00735623"/>
    <w:rsid w:val="00735730"/>
    <w:rsid w:val="00736729"/>
    <w:rsid w:val="00736D8E"/>
    <w:rsid w:val="007373F5"/>
    <w:rsid w:val="0074114D"/>
    <w:rsid w:val="00741166"/>
    <w:rsid w:val="00745A36"/>
    <w:rsid w:val="00747926"/>
    <w:rsid w:val="00751CA2"/>
    <w:rsid w:val="00751DBE"/>
    <w:rsid w:val="0075290F"/>
    <w:rsid w:val="00753390"/>
    <w:rsid w:val="00753FD5"/>
    <w:rsid w:val="00753FE9"/>
    <w:rsid w:val="00754973"/>
    <w:rsid w:val="00756B05"/>
    <w:rsid w:val="00761B8A"/>
    <w:rsid w:val="00766612"/>
    <w:rsid w:val="00766F88"/>
    <w:rsid w:val="007719ED"/>
    <w:rsid w:val="00771CDF"/>
    <w:rsid w:val="007732A3"/>
    <w:rsid w:val="00773CBA"/>
    <w:rsid w:val="0077514D"/>
    <w:rsid w:val="00775649"/>
    <w:rsid w:val="007761F4"/>
    <w:rsid w:val="007764B5"/>
    <w:rsid w:val="007775C6"/>
    <w:rsid w:val="0078021A"/>
    <w:rsid w:val="00781BA7"/>
    <w:rsid w:val="007832B6"/>
    <w:rsid w:val="00785095"/>
    <w:rsid w:val="007856BA"/>
    <w:rsid w:val="00790B56"/>
    <w:rsid w:val="00791889"/>
    <w:rsid w:val="00791C1B"/>
    <w:rsid w:val="00793DE3"/>
    <w:rsid w:val="00793F2C"/>
    <w:rsid w:val="00794B24"/>
    <w:rsid w:val="0079519E"/>
    <w:rsid w:val="00795A16"/>
    <w:rsid w:val="007A0388"/>
    <w:rsid w:val="007A045F"/>
    <w:rsid w:val="007A2146"/>
    <w:rsid w:val="007A2A20"/>
    <w:rsid w:val="007A4B7A"/>
    <w:rsid w:val="007A57FF"/>
    <w:rsid w:val="007A69F6"/>
    <w:rsid w:val="007A7966"/>
    <w:rsid w:val="007A7CE2"/>
    <w:rsid w:val="007B0279"/>
    <w:rsid w:val="007B0FB8"/>
    <w:rsid w:val="007B136D"/>
    <w:rsid w:val="007B2C7C"/>
    <w:rsid w:val="007B3ACE"/>
    <w:rsid w:val="007B4C44"/>
    <w:rsid w:val="007B588E"/>
    <w:rsid w:val="007B5BC0"/>
    <w:rsid w:val="007B6131"/>
    <w:rsid w:val="007B6A32"/>
    <w:rsid w:val="007B7722"/>
    <w:rsid w:val="007C0C08"/>
    <w:rsid w:val="007C3A9B"/>
    <w:rsid w:val="007C51F0"/>
    <w:rsid w:val="007C6D55"/>
    <w:rsid w:val="007C701D"/>
    <w:rsid w:val="007C7334"/>
    <w:rsid w:val="007D1109"/>
    <w:rsid w:val="007D19BC"/>
    <w:rsid w:val="007D301F"/>
    <w:rsid w:val="007D34D3"/>
    <w:rsid w:val="007D4AC1"/>
    <w:rsid w:val="007D56EE"/>
    <w:rsid w:val="007D5765"/>
    <w:rsid w:val="007D5B26"/>
    <w:rsid w:val="007D5D9B"/>
    <w:rsid w:val="007D7690"/>
    <w:rsid w:val="007E1BE7"/>
    <w:rsid w:val="007E21BD"/>
    <w:rsid w:val="007E31CC"/>
    <w:rsid w:val="007E3B1D"/>
    <w:rsid w:val="007E6A36"/>
    <w:rsid w:val="007E78D3"/>
    <w:rsid w:val="007F2040"/>
    <w:rsid w:val="007F2408"/>
    <w:rsid w:val="007F2432"/>
    <w:rsid w:val="007F535B"/>
    <w:rsid w:val="007F53DF"/>
    <w:rsid w:val="007F75A4"/>
    <w:rsid w:val="00800491"/>
    <w:rsid w:val="00802405"/>
    <w:rsid w:val="00802F4B"/>
    <w:rsid w:val="00804D1E"/>
    <w:rsid w:val="0080512C"/>
    <w:rsid w:val="0080794B"/>
    <w:rsid w:val="00810122"/>
    <w:rsid w:val="00810E5A"/>
    <w:rsid w:val="0081182D"/>
    <w:rsid w:val="00811A25"/>
    <w:rsid w:val="00812F26"/>
    <w:rsid w:val="00813D83"/>
    <w:rsid w:val="008150EF"/>
    <w:rsid w:val="00815616"/>
    <w:rsid w:val="00815D47"/>
    <w:rsid w:val="00816984"/>
    <w:rsid w:val="00816E71"/>
    <w:rsid w:val="00817F74"/>
    <w:rsid w:val="008208BD"/>
    <w:rsid w:val="008211D5"/>
    <w:rsid w:val="0082247A"/>
    <w:rsid w:val="008224DA"/>
    <w:rsid w:val="00822B4F"/>
    <w:rsid w:val="0082530D"/>
    <w:rsid w:val="008259E5"/>
    <w:rsid w:val="00825A27"/>
    <w:rsid w:val="00826F34"/>
    <w:rsid w:val="00826F98"/>
    <w:rsid w:val="00827775"/>
    <w:rsid w:val="0083159D"/>
    <w:rsid w:val="00833A98"/>
    <w:rsid w:val="008342ED"/>
    <w:rsid w:val="00834C3B"/>
    <w:rsid w:val="0083554E"/>
    <w:rsid w:val="008356D0"/>
    <w:rsid w:val="00840870"/>
    <w:rsid w:val="00842F79"/>
    <w:rsid w:val="00843614"/>
    <w:rsid w:val="0084362A"/>
    <w:rsid w:val="00844261"/>
    <w:rsid w:val="008446F2"/>
    <w:rsid w:val="00844738"/>
    <w:rsid w:val="00845013"/>
    <w:rsid w:val="00845BC7"/>
    <w:rsid w:val="008469CF"/>
    <w:rsid w:val="008476A3"/>
    <w:rsid w:val="00847ECA"/>
    <w:rsid w:val="00847F5E"/>
    <w:rsid w:val="00850CAE"/>
    <w:rsid w:val="00851B47"/>
    <w:rsid w:val="00851C59"/>
    <w:rsid w:val="008541D8"/>
    <w:rsid w:val="008548CC"/>
    <w:rsid w:val="008559CD"/>
    <w:rsid w:val="00856E97"/>
    <w:rsid w:val="008577A0"/>
    <w:rsid w:val="0085791A"/>
    <w:rsid w:val="00857BF0"/>
    <w:rsid w:val="00857E62"/>
    <w:rsid w:val="00860181"/>
    <w:rsid w:val="008605C5"/>
    <w:rsid w:val="00861A9F"/>
    <w:rsid w:val="00862EF6"/>
    <w:rsid w:val="00864434"/>
    <w:rsid w:val="00865D2A"/>
    <w:rsid w:val="00866A19"/>
    <w:rsid w:val="00866AB9"/>
    <w:rsid w:val="00867170"/>
    <w:rsid w:val="0086778A"/>
    <w:rsid w:val="00867EC0"/>
    <w:rsid w:val="00871C87"/>
    <w:rsid w:val="0087380D"/>
    <w:rsid w:val="00873F2E"/>
    <w:rsid w:val="008748AA"/>
    <w:rsid w:val="00876003"/>
    <w:rsid w:val="008770B7"/>
    <w:rsid w:val="0088026A"/>
    <w:rsid w:val="00881CDA"/>
    <w:rsid w:val="00882686"/>
    <w:rsid w:val="00883EFE"/>
    <w:rsid w:val="0088447E"/>
    <w:rsid w:val="008855A7"/>
    <w:rsid w:val="00886FAF"/>
    <w:rsid w:val="00887705"/>
    <w:rsid w:val="00887A77"/>
    <w:rsid w:val="00890EBF"/>
    <w:rsid w:val="00891141"/>
    <w:rsid w:val="0089159F"/>
    <w:rsid w:val="0089489A"/>
    <w:rsid w:val="008958BF"/>
    <w:rsid w:val="00895D45"/>
    <w:rsid w:val="00895E08"/>
    <w:rsid w:val="008976C9"/>
    <w:rsid w:val="00897BA0"/>
    <w:rsid w:val="008A0EF2"/>
    <w:rsid w:val="008A2232"/>
    <w:rsid w:val="008A3E79"/>
    <w:rsid w:val="008A3EB3"/>
    <w:rsid w:val="008A4080"/>
    <w:rsid w:val="008A484E"/>
    <w:rsid w:val="008B4900"/>
    <w:rsid w:val="008B57C2"/>
    <w:rsid w:val="008B642A"/>
    <w:rsid w:val="008C10F8"/>
    <w:rsid w:val="008C24BC"/>
    <w:rsid w:val="008C27CE"/>
    <w:rsid w:val="008C32DC"/>
    <w:rsid w:val="008C3908"/>
    <w:rsid w:val="008C490D"/>
    <w:rsid w:val="008C76AB"/>
    <w:rsid w:val="008C7B6A"/>
    <w:rsid w:val="008D0A1E"/>
    <w:rsid w:val="008D5A49"/>
    <w:rsid w:val="008D6305"/>
    <w:rsid w:val="008E20C0"/>
    <w:rsid w:val="008E3C98"/>
    <w:rsid w:val="008E3CD1"/>
    <w:rsid w:val="008E4AE8"/>
    <w:rsid w:val="008E7F6C"/>
    <w:rsid w:val="008F2C79"/>
    <w:rsid w:val="008F2C8E"/>
    <w:rsid w:val="008F3306"/>
    <w:rsid w:val="008F3AC6"/>
    <w:rsid w:val="008F5BF5"/>
    <w:rsid w:val="008F604C"/>
    <w:rsid w:val="008F6A03"/>
    <w:rsid w:val="008F7B56"/>
    <w:rsid w:val="0090100E"/>
    <w:rsid w:val="00903BF8"/>
    <w:rsid w:val="00905022"/>
    <w:rsid w:val="00905ABE"/>
    <w:rsid w:val="0090627A"/>
    <w:rsid w:val="00907E2A"/>
    <w:rsid w:val="0091071B"/>
    <w:rsid w:val="0091167A"/>
    <w:rsid w:val="00913316"/>
    <w:rsid w:val="009134A3"/>
    <w:rsid w:val="00913659"/>
    <w:rsid w:val="009138AF"/>
    <w:rsid w:val="00913CAE"/>
    <w:rsid w:val="00913EB0"/>
    <w:rsid w:val="00915E1F"/>
    <w:rsid w:val="00920A1C"/>
    <w:rsid w:val="0092158C"/>
    <w:rsid w:val="00922D99"/>
    <w:rsid w:val="00923B3E"/>
    <w:rsid w:val="00924868"/>
    <w:rsid w:val="0092586F"/>
    <w:rsid w:val="00926637"/>
    <w:rsid w:val="009267B0"/>
    <w:rsid w:val="009274CA"/>
    <w:rsid w:val="009308C3"/>
    <w:rsid w:val="0093168F"/>
    <w:rsid w:val="0093239B"/>
    <w:rsid w:val="00932467"/>
    <w:rsid w:val="00933A44"/>
    <w:rsid w:val="00936D9A"/>
    <w:rsid w:val="009377B1"/>
    <w:rsid w:val="00937C7E"/>
    <w:rsid w:val="00941674"/>
    <w:rsid w:val="009418EC"/>
    <w:rsid w:val="00941B13"/>
    <w:rsid w:val="009429E6"/>
    <w:rsid w:val="0094439F"/>
    <w:rsid w:val="00944A26"/>
    <w:rsid w:val="00944B44"/>
    <w:rsid w:val="00946DE3"/>
    <w:rsid w:val="00946E68"/>
    <w:rsid w:val="00946F8D"/>
    <w:rsid w:val="00947851"/>
    <w:rsid w:val="00950A5F"/>
    <w:rsid w:val="009512C0"/>
    <w:rsid w:val="009519DA"/>
    <w:rsid w:val="009531DD"/>
    <w:rsid w:val="009535F1"/>
    <w:rsid w:val="009544CC"/>
    <w:rsid w:val="00954509"/>
    <w:rsid w:val="00955145"/>
    <w:rsid w:val="00955A0B"/>
    <w:rsid w:val="00956E50"/>
    <w:rsid w:val="009575C2"/>
    <w:rsid w:val="00957BDC"/>
    <w:rsid w:val="00960D78"/>
    <w:rsid w:val="00962A92"/>
    <w:rsid w:val="00965021"/>
    <w:rsid w:val="0096697C"/>
    <w:rsid w:val="00967335"/>
    <w:rsid w:val="009678B4"/>
    <w:rsid w:val="00967F07"/>
    <w:rsid w:val="00970629"/>
    <w:rsid w:val="00970BF2"/>
    <w:rsid w:val="0097131A"/>
    <w:rsid w:val="0097164C"/>
    <w:rsid w:val="00971A9E"/>
    <w:rsid w:val="00972D55"/>
    <w:rsid w:val="009747DB"/>
    <w:rsid w:val="00975BBB"/>
    <w:rsid w:val="00975E8C"/>
    <w:rsid w:val="009764A3"/>
    <w:rsid w:val="009800DE"/>
    <w:rsid w:val="009820E0"/>
    <w:rsid w:val="00983227"/>
    <w:rsid w:val="009862F8"/>
    <w:rsid w:val="00986C42"/>
    <w:rsid w:val="00987CE6"/>
    <w:rsid w:val="009900A8"/>
    <w:rsid w:val="00990C04"/>
    <w:rsid w:val="0099120C"/>
    <w:rsid w:val="00993025"/>
    <w:rsid w:val="00994349"/>
    <w:rsid w:val="00994803"/>
    <w:rsid w:val="009952BC"/>
    <w:rsid w:val="00996287"/>
    <w:rsid w:val="0099675F"/>
    <w:rsid w:val="00996817"/>
    <w:rsid w:val="00996EFC"/>
    <w:rsid w:val="009A0E1F"/>
    <w:rsid w:val="009A4743"/>
    <w:rsid w:val="009A5EE3"/>
    <w:rsid w:val="009A6199"/>
    <w:rsid w:val="009A61EC"/>
    <w:rsid w:val="009A64CE"/>
    <w:rsid w:val="009B0478"/>
    <w:rsid w:val="009B2148"/>
    <w:rsid w:val="009B2186"/>
    <w:rsid w:val="009B40DE"/>
    <w:rsid w:val="009B5828"/>
    <w:rsid w:val="009B5DAF"/>
    <w:rsid w:val="009B6B73"/>
    <w:rsid w:val="009C17CB"/>
    <w:rsid w:val="009C1854"/>
    <w:rsid w:val="009C2293"/>
    <w:rsid w:val="009C2CB7"/>
    <w:rsid w:val="009C4305"/>
    <w:rsid w:val="009C454E"/>
    <w:rsid w:val="009C45FE"/>
    <w:rsid w:val="009C64E3"/>
    <w:rsid w:val="009D1986"/>
    <w:rsid w:val="009D22A5"/>
    <w:rsid w:val="009D3585"/>
    <w:rsid w:val="009D44F0"/>
    <w:rsid w:val="009D58CB"/>
    <w:rsid w:val="009D6C9F"/>
    <w:rsid w:val="009D7A32"/>
    <w:rsid w:val="009D7C62"/>
    <w:rsid w:val="009E0932"/>
    <w:rsid w:val="009E1F56"/>
    <w:rsid w:val="009E3684"/>
    <w:rsid w:val="009E489E"/>
    <w:rsid w:val="009E7E16"/>
    <w:rsid w:val="009F0345"/>
    <w:rsid w:val="009F0C3F"/>
    <w:rsid w:val="009F167C"/>
    <w:rsid w:val="009F1A41"/>
    <w:rsid w:val="009F250B"/>
    <w:rsid w:val="009F582C"/>
    <w:rsid w:val="00A00300"/>
    <w:rsid w:val="00A03D59"/>
    <w:rsid w:val="00A05396"/>
    <w:rsid w:val="00A05AA4"/>
    <w:rsid w:val="00A05FFB"/>
    <w:rsid w:val="00A07AE6"/>
    <w:rsid w:val="00A10045"/>
    <w:rsid w:val="00A108B5"/>
    <w:rsid w:val="00A11842"/>
    <w:rsid w:val="00A11FE3"/>
    <w:rsid w:val="00A1379C"/>
    <w:rsid w:val="00A145A2"/>
    <w:rsid w:val="00A1531E"/>
    <w:rsid w:val="00A16A9A"/>
    <w:rsid w:val="00A16AE6"/>
    <w:rsid w:val="00A225BF"/>
    <w:rsid w:val="00A2292A"/>
    <w:rsid w:val="00A23736"/>
    <w:rsid w:val="00A23AE2"/>
    <w:rsid w:val="00A25225"/>
    <w:rsid w:val="00A26622"/>
    <w:rsid w:val="00A26A6E"/>
    <w:rsid w:val="00A26FFE"/>
    <w:rsid w:val="00A305C4"/>
    <w:rsid w:val="00A31C89"/>
    <w:rsid w:val="00A323F6"/>
    <w:rsid w:val="00A3324E"/>
    <w:rsid w:val="00A33AFF"/>
    <w:rsid w:val="00A34127"/>
    <w:rsid w:val="00A34E2D"/>
    <w:rsid w:val="00A35F73"/>
    <w:rsid w:val="00A36885"/>
    <w:rsid w:val="00A36D8A"/>
    <w:rsid w:val="00A37854"/>
    <w:rsid w:val="00A37F20"/>
    <w:rsid w:val="00A4075D"/>
    <w:rsid w:val="00A416AF"/>
    <w:rsid w:val="00A4195F"/>
    <w:rsid w:val="00A428A3"/>
    <w:rsid w:val="00A4313A"/>
    <w:rsid w:val="00A43931"/>
    <w:rsid w:val="00A43C15"/>
    <w:rsid w:val="00A44A78"/>
    <w:rsid w:val="00A46ADE"/>
    <w:rsid w:val="00A4721E"/>
    <w:rsid w:val="00A51509"/>
    <w:rsid w:val="00A51F43"/>
    <w:rsid w:val="00A52514"/>
    <w:rsid w:val="00A52A32"/>
    <w:rsid w:val="00A545A5"/>
    <w:rsid w:val="00A55D83"/>
    <w:rsid w:val="00A56A38"/>
    <w:rsid w:val="00A56FD7"/>
    <w:rsid w:val="00A61DD2"/>
    <w:rsid w:val="00A61E02"/>
    <w:rsid w:val="00A633ED"/>
    <w:rsid w:val="00A6571A"/>
    <w:rsid w:val="00A65CB4"/>
    <w:rsid w:val="00A65D86"/>
    <w:rsid w:val="00A669C6"/>
    <w:rsid w:val="00A71DCD"/>
    <w:rsid w:val="00A76EF8"/>
    <w:rsid w:val="00A812CA"/>
    <w:rsid w:val="00A81720"/>
    <w:rsid w:val="00A81CC3"/>
    <w:rsid w:val="00A823E2"/>
    <w:rsid w:val="00A82455"/>
    <w:rsid w:val="00A832E3"/>
    <w:rsid w:val="00A8395F"/>
    <w:rsid w:val="00A8489F"/>
    <w:rsid w:val="00A85683"/>
    <w:rsid w:val="00A85FEA"/>
    <w:rsid w:val="00A86A36"/>
    <w:rsid w:val="00A90BFC"/>
    <w:rsid w:val="00A927F2"/>
    <w:rsid w:val="00A931D9"/>
    <w:rsid w:val="00A93783"/>
    <w:rsid w:val="00A93E2E"/>
    <w:rsid w:val="00A9403A"/>
    <w:rsid w:val="00A958D9"/>
    <w:rsid w:val="00A96C35"/>
    <w:rsid w:val="00AA3117"/>
    <w:rsid w:val="00AA31E2"/>
    <w:rsid w:val="00AA506E"/>
    <w:rsid w:val="00AA673D"/>
    <w:rsid w:val="00AA6A09"/>
    <w:rsid w:val="00AB2171"/>
    <w:rsid w:val="00AB3654"/>
    <w:rsid w:val="00AB4476"/>
    <w:rsid w:val="00AB4A9A"/>
    <w:rsid w:val="00AB4F48"/>
    <w:rsid w:val="00AB662A"/>
    <w:rsid w:val="00AB7EAD"/>
    <w:rsid w:val="00AC00BC"/>
    <w:rsid w:val="00AC06D8"/>
    <w:rsid w:val="00AC1545"/>
    <w:rsid w:val="00AC178F"/>
    <w:rsid w:val="00AC3E76"/>
    <w:rsid w:val="00AC4288"/>
    <w:rsid w:val="00AC4BEC"/>
    <w:rsid w:val="00AC5DDE"/>
    <w:rsid w:val="00AC61D2"/>
    <w:rsid w:val="00AC7209"/>
    <w:rsid w:val="00AD0141"/>
    <w:rsid w:val="00AD01CB"/>
    <w:rsid w:val="00AD2071"/>
    <w:rsid w:val="00AD31DB"/>
    <w:rsid w:val="00AD4039"/>
    <w:rsid w:val="00AD5949"/>
    <w:rsid w:val="00AD6DE6"/>
    <w:rsid w:val="00AE0045"/>
    <w:rsid w:val="00AE2C5F"/>
    <w:rsid w:val="00AE4A58"/>
    <w:rsid w:val="00AE4BD1"/>
    <w:rsid w:val="00AE57D6"/>
    <w:rsid w:val="00AE7345"/>
    <w:rsid w:val="00B032F0"/>
    <w:rsid w:val="00B0574B"/>
    <w:rsid w:val="00B06E57"/>
    <w:rsid w:val="00B111A1"/>
    <w:rsid w:val="00B13DD3"/>
    <w:rsid w:val="00B13ECE"/>
    <w:rsid w:val="00B14837"/>
    <w:rsid w:val="00B14EA7"/>
    <w:rsid w:val="00B15856"/>
    <w:rsid w:val="00B20C5A"/>
    <w:rsid w:val="00B2160C"/>
    <w:rsid w:val="00B21673"/>
    <w:rsid w:val="00B21E93"/>
    <w:rsid w:val="00B22449"/>
    <w:rsid w:val="00B2272F"/>
    <w:rsid w:val="00B2382F"/>
    <w:rsid w:val="00B25CB5"/>
    <w:rsid w:val="00B26224"/>
    <w:rsid w:val="00B26CF1"/>
    <w:rsid w:val="00B26E1D"/>
    <w:rsid w:val="00B2736B"/>
    <w:rsid w:val="00B30ABD"/>
    <w:rsid w:val="00B33271"/>
    <w:rsid w:val="00B33AF1"/>
    <w:rsid w:val="00B33C99"/>
    <w:rsid w:val="00B34504"/>
    <w:rsid w:val="00B359FA"/>
    <w:rsid w:val="00B35ECE"/>
    <w:rsid w:val="00B436B0"/>
    <w:rsid w:val="00B44708"/>
    <w:rsid w:val="00B44B72"/>
    <w:rsid w:val="00B457F1"/>
    <w:rsid w:val="00B458F1"/>
    <w:rsid w:val="00B46F70"/>
    <w:rsid w:val="00B5156C"/>
    <w:rsid w:val="00B515D4"/>
    <w:rsid w:val="00B52906"/>
    <w:rsid w:val="00B5308F"/>
    <w:rsid w:val="00B55306"/>
    <w:rsid w:val="00B555A6"/>
    <w:rsid w:val="00B55B37"/>
    <w:rsid w:val="00B56FEF"/>
    <w:rsid w:val="00B60818"/>
    <w:rsid w:val="00B60FE6"/>
    <w:rsid w:val="00B6217D"/>
    <w:rsid w:val="00B650AA"/>
    <w:rsid w:val="00B6559B"/>
    <w:rsid w:val="00B655A9"/>
    <w:rsid w:val="00B655EB"/>
    <w:rsid w:val="00B656C9"/>
    <w:rsid w:val="00B71A81"/>
    <w:rsid w:val="00B723EA"/>
    <w:rsid w:val="00B728CC"/>
    <w:rsid w:val="00B72DB8"/>
    <w:rsid w:val="00B73601"/>
    <w:rsid w:val="00B73CEE"/>
    <w:rsid w:val="00B7505F"/>
    <w:rsid w:val="00B75185"/>
    <w:rsid w:val="00B753CC"/>
    <w:rsid w:val="00B779F2"/>
    <w:rsid w:val="00B77F16"/>
    <w:rsid w:val="00B83215"/>
    <w:rsid w:val="00B834C1"/>
    <w:rsid w:val="00B837B6"/>
    <w:rsid w:val="00B85CA0"/>
    <w:rsid w:val="00B85EF6"/>
    <w:rsid w:val="00B91198"/>
    <w:rsid w:val="00B932B9"/>
    <w:rsid w:val="00B93438"/>
    <w:rsid w:val="00B93CB5"/>
    <w:rsid w:val="00B93E2C"/>
    <w:rsid w:val="00B95A22"/>
    <w:rsid w:val="00BA02DE"/>
    <w:rsid w:val="00BA07DE"/>
    <w:rsid w:val="00BA0FB8"/>
    <w:rsid w:val="00BA24D8"/>
    <w:rsid w:val="00BA2E61"/>
    <w:rsid w:val="00BA3968"/>
    <w:rsid w:val="00BA42D4"/>
    <w:rsid w:val="00BA4F7A"/>
    <w:rsid w:val="00BA6B3A"/>
    <w:rsid w:val="00BB01DA"/>
    <w:rsid w:val="00BB03A4"/>
    <w:rsid w:val="00BB1DC4"/>
    <w:rsid w:val="00BB2E79"/>
    <w:rsid w:val="00BB5561"/>
    <w:rsid w:val="00BB571F"/>
    <w:rsid w:val="00BB5A94"/>
    <w:rsid w:val="00BB5DAF"/>
    <w:rsid w:val="00BB5E31"/>
    <w:rsid w:val="00BB6AB4"/>
    <w:rsid w:val="00BB79A8"/>
    <w:rsid w:val="00BC03A5"/>
    <w:rsid w:val="00BC103B"/>
    <w:rsid w:val="00BC1756"/>
    <w:rsid w:val="00BC2C40"/>
    <w:rsid w:val="00BC47B1"/>
    <w:rsid w:val="00BC4C0B"/>
    <w:rsid w:val="00BC4D8A"/>
    <w:rsid w:val="00BC72BB"/>
    <w:rsid w:val="00BD01EB"/>
    <w:rsid w:val="00BD20B9"/>
    <w:rsid w:val="00BD2C4E"/>
    <w:rsid w:val="00BD4C5F"/>
    <w:rsid w:val="00BD6456"/>
    <w:rsid w:val="00BD6D22"/>
    <w:rsid w:val="00BD6E9F"/>
    <w:rsid w:val="00BD7010"/>
    <w:rsid w:val="00BD7257"/>
    <w:rsid w:val="00BD727D"/>
    <w:rsid w:val="00BE04B2"/>
    <w:rsid w:val="00BE14D9"/>
    <w:rsid w:val="00BE190F"/>
    <w:rsid w:val="00BE1E71"/>
    <w:rsid w:val="00BE3EEC"/>
    <w:rsid w:val="00BE413C"/>
    <w:rsid w:val="00BE4146"/>
    <w:rsid w:val="00BE4263"/>
    <w:rsid w:val="00BE55FC"/>
    <w:rsid w:val="00BE7551"/>
    <w:rsid w:val="00BF179F"/>
    <w:rsid w:val="00BF1B52"/>
    <w:rsid w:val="00BF3FE8"/>
    <w:rsid w:val="00BF54A4"/>
    <w:rsid w:val="00BF5AB0"/>
    <w:rsid w:val="00BF6A23"/>
    <w:rsid w:val="00BF7751"/>
    <w:rsid w:val="00C00086"/>
    <w:rsid w:val="00C01E3D"/>
    <w:rsid w:val="00C03AF2"/>
    <w:rsid w:val="00C040AA"/>
    <w:rsid w:val="00C052B3"/>
    <w:rsid w:val="00C054AB"/>
    <w:rsid w:val="00C061DA"/>
    <w:rsid w:val="00C071D7"/>
    <w:rsid w:val="00C11754"/>
    <w:rsid w:val="00C14341"/>
    <w:rsid w:val="00C1468A"/>
    <w:rsid w:val="00C14FC0"/>
    <w:rsid w:val="00C15395"/>
    <w:rsid w:val="00C165E1"/>
    <w:rsid w:val="00C1692A"/>
    <w:rsid w:val="00C20490"/>
    <w:rsid w:val="00C2097A"/>
    <w:rsid w:val="00C20A06"/>
    <w:rsid w:val="00C22355"/>
    <w:rsid w:val="00C23BC1"/>
    <w:rsid w:val="00C23D6F"/>
    <w:rsid w:val="00C25A3D"/>
    <w:rsid w:val="00C266F6"/>
    <w:rsid w:val="00C275CF"/>
    <w:rsid w:val="00C30CD2"/>
    <w:rsid w:val="00C30DC5"/>
    <w:rsid w:val="00C311DA"/>
    <w:rsid w:val="00C34F05"/>
    <w:rsid w:val="00C35409"/>
    <w:rsid w:val="00C378D6"/>
    <w:rsid w:val="00C37EBA"/>
    <w:rsid w:val="00C40263"/>
    <w:rsid w:val="00C44F6B"/>
    <w:rsid w:val="00C464BC"/>
    <w:rsid w:val="00C51D8F"/>
    <w:rsid w:val="00C521DB"/>
    <w:rsid w:val="00C522CC"/>
    <w:rsid w:val="00C54B81"/>
    <w:rsid w:val="00C5508C"/>
    <w:rsid w:val="00C57455"/>
    <w:rsid w:val="00C57AE0"/>
    <w:rsid w:val="00C6011F"/>
    <w:rsid w:val="00C60AF9"/>
    <w:rsid w:val="00C610EC"/>
    <w:rsid w:val="00C62140"/>
    <w:rsid w:val="00C62417"/>
    <w:rsid w:val="00C62AB7"/>
    <w:rsid w:val="00C635BE"/>
    <w:rsid w:val="00C63AF0"/>
    <w:rsid w:val="00C65F0E"/>
    <w:rsid w:val="00C662FB"/>
    <w:rsid w:val="00C66B60"/>
    <w:rsid w:val="00C6765C"/>
    <w:rsid w:val="00C67B81"/>
    <w:rsid w:val="00C705DC"/>
    <w:rsid w:val="00C717BC"/>
    <w:rsid w:val="00C72059"/>
    <w:rsid w:val="00C7338B"/>
    <w:rsid w:val="00C75649"/>
    <w:rsid w:val="00C8030F"/>
    <w:rsid w:val="00C807D0"/>
    <w:rsid w:val="00C81980"/>
    <w:rsid w:val="00C81F9F"/>
    <w:rsid w:val="00C85294"/>
    <w:rsid w:val="00C853B8"/>
    <w:rsid w:val="00C86FAF"/>
    <w:rsid w:val="00C870D3"/>
    <w:rsid w:val="00C9036E"/>
    <w:rsid w:val="00C907B7"/>
    <w:rsid w:val="00C90D52"/>
    <w:rsid w:val="00C91083"/>
    <w:rsid w:val="00C91E83"/>
    <w:rsid w:val="00C9478A"/>
    <w:rsid w:val="00C965C5"/>
    <w:rsid w:val="00CA24C9"/>
    <w:rsid w:val="00CA2FAB"/>
    <w:rsid w:val="00CA30F7"/>
    <w:rsid w:val="00CA4BFB"/>
    <w:rsid w:val="00CA4E56"/>
    <w:rsid w:val="00CA6C16"/>
    <w:rsid w:val="00CA6D1E"/>
    <w:rsid w:val="00CA705A"/>
    <w:rsid w:val="00CB0492"/>
    <w:rsid w:val="00CB0DC9"/>
    <w:rsid w:val="00CB162A"/>
    <w:rsid w:val="00CB1C6A"/>
    <w:rsid w:val="00CB2E85"/>
    <w:rsid w:val="00CB3F71"/>
    <w:rsid w:val="00CB53AB"/>
    <w:rsid w:val="00CB5518"/>
    <w:rsid w:val="00CB6C18"/>
    <w:rsid w:val="00CB71DF"/>
    <w:rsid w:val="00CC063E"/>
    <w:rsid w:val="00CC0CB8"/>
    <w:rsid w:val="00CC1765"/>
    <w:rsid w:val="00CC348C"/>
    <w:rsid w:val="00CC3BC6"/>
    <w:rsid w:val="00CC4A5A"/>
    <w:rsid w:val="00CC54F1"/>
    <w:rsid w:val="00CC5C5E"/>
    <w:rsid w:val="00CC64F1"/>
    <w:rsid w:val="00CC6F20"/>
    <w:rsid w:val="00CD0584"/>
    <w:rsid w:val="00CD18C3"/>
    <w:rsid w:val="00CD1C41"/>
    <w:rsid w:val="00CD34D2"/>
    <w:rsid w:val="00CD3576"/>
    <w:rsid w:val="00CD375F"/>
    <w:rsid w:val="00CD779D"/>
    <w:rsid w:val="00CE05AF"/>
    <w:rsid w:val="00CE0832"/>
    <w:rsid w:val="00CE1981"/>
    <w:rsid w:val="00CE1CEA"/>
    <w:rsid w:val="00CE3407"/>
    <w:rsid w:val="00CE4C65"/>
    <w:rsid w:val="00CE624C"/>
    <w:rsid w:val="00CE654F"/>
    <w:rsid w:val="00CE6881"/>
    <w:rsid w:val="00CF0779"/>
    <w:rsid w:val="00CF217A"/>
    <w:rsid w:val="00CF2264"/>
    <w:rsid w:val="00CF3AB8"/>
    <w:rsid w:val="00CF48D7"/>
    <w:rsid w:val="00CF4A1A"/>
    <w:rsid w:val="00CF5FC9"/>
    <w:rsid w:val="00CF6015"/>
    <w:rsid w:val="00CF60AC"/>
    <w:rsid w:val="00CF7325"/>
    <w:rsid w:val="00CF7712"/>
    <w:rsid w:val="00D00A52"/>
    <w:rsid w:val="00D014A6"/>
    <w:rsid w:val="00D03C52"/>
    <w:rsid w:val="00D06C0D"/>
    <w:rsid w:val="00D07CF4"/>
    <w:rsid w:val="00D12377"/>
    <w:rsid w:val="00D12758"/>
    <w:rsid w:val="00D14D32"/>
    <w:rsid w:val="00D152EE"/>
    <w:rsid w:val="00D15832"/>
    <w:rsid w:val="00D1603D"/>
    <w:rsid w:val="00D16450"/>
    <w:rsid w:val="00D16DAA"/>
    <w:rsid w:val="00D173CF"/>
    <w:rsid w:val="00D17B06"/>
    <w:rsid w:val="00D201C9"/>
    <w:rsid w:val="00D20B73"/>
    <w:rsid w:val="00D21A22"/>
    <w:rsid w:val="00D22861"/>
    <w:rsid w:val="00D24218"/>
    <w:rsid w:val="00D2668E"/>
    <w:rsid w:val="00D279A5"/>
    <w:rsid w:val="00D31DBC"/>
    <w:rsid w:val="00D32811"/>
    <w:rsid w:val="00D32F6E"/>
    <w:rsid w:val="00D33ABB"/>
    <w:rsid w:val="00D36C29"/>
    <w:rsid w:val="00D37E72"/>
    <w:rsid w:val="00D42853"/>
    <w:rsid w:val="00D42A53"/>
    <w:rsid w:val="00D42D64"/>
    <w:rsid w:val="00D446F1"/>
    <w:rsid w:val="00D45625"/>
    <w:rsid w:val="00D46F72"/>
    <w:rsid w:val="00D479E0"/>
    <w:rsid w:val="00D517C8"/>
    <w:rsid w:val="00D51BAB"/>
    <w:rsid w:val="00D51E6D"/>
    <w:rsid w:val="00D52497"/>
    <w:rsid w:val="00D524F3"/>
    <w:rsid w:val="00D52BA7"/>
    <w:rsid w:val="00D53F56"/>
    <w:rsid w:val="00D558A7"/>
    <w:rsid w:val="00D561D7"/>
    <w:rsid w:val="00D56A52"/>
    <w:rsid w:val="00D56A7B"/>
    <w:rsid w:val="00D57165"/>
    <w:rsid w:val="00D606D2"/>
    <w:rsid w:val="00D609CD"/>
    <w:rsid w:val="00D60A10"/>
    <w:rsid w:val="00D60CCB"/>
    <w:rsid w:val="00D62F68"/>
    <w:rsid w:val="00D636C5"/>
    <w:rsid w:val="00D63DD0"/>
    <w:rsid w:val="00D65D22"/>
    <w:rsid w:val="00D66501"/>
    <w:rsid w:val="00D66E67"/>
    <w:rsid w:val="00D705F9"/>
    <w:rsid w:val="00D70A4E"/>
    <w:rsid w:val="00D71A30"/>
    <w:rsid w:val="00D73E0E"/>
    <w:rsid w:val="00D757E3"/>
    <w:rsid w:val="00D75D1D"/>
    <w:rsid w:val="00D76A0F"/>
    <w:rsid w:val="00D80CF9"/>
    <w:rsid w:val="00D80E77"/>
    <w:rsid w:val="00D81E9E"/>
    <w:rsid w:val="00D82955"/>
    <w:rsid w:val="00D832AD"/>
    <w:rsid w:val="00D8359E"/>
    <w:rsid w:val="00D84E69"/>
    <w:rsid w:val="00D853E1"/>
    <w:rsid w:val="00D87929"/>
    <w:rsid w:val="00D87AE8"/>
    <w:rsid w:val="00D90388"/>
    <w:rsid w:val="00D913EE"/>
    <w:rsid w:val="00D91E03"/>
    <w:rsid w:val="00D933DE"/>
    <w:rsid w:val="00D939DF"/>
    <w:rsid w:val="00D949B2"/>
    <w:rsid w:val="00D95D8A"/>
    <w:rsid w:val="00D96837"/>
    <w:rsid w:val="00DA0C0D"/>
    <w:rsid w:val="00DA1262"/>
    <w:rsid w:val="00DA16E5"/>
    <w:rsid w:val="00DA2324"/>
    <w:rsid w:val="00DA243D"/>
    <w:rsid w:val="00DA2EA8"/>
    <w:rsid w:val="00DA386A"/>
    <w:rsid w:val="00DA38EE"/>
    <w:rsid w:val="00DA3A09"/>
    <w:rsid w:val="00DA4FD7"/>
    <w:rsid w:val="00DA55D1"/>
    <w:rsid w:val="00DB0547"/>
    <w:rsid w:val="00DB11D0"/>
    <w:rsid w:val="00DB1DA8"/>
    <w:rsid w:val="00DB1EAB"/>
    <w:rsid w:val="00DB2F62"/>
    <w:rsid w:val="00DB3EF4"/>
    <w:rsid w:val="00DB4518"/>
    <w:rsid w:val="00DB501D"/>
    <w:rsid w:val="00DC3208"/>
    <w:rsid w:val="00DC4810"/>
    <w:rsid w:val="00DC4E5B"/>
    <w:rsid w:val="00DC5BDD"/>
    <w:rsid w:val="00DC7C81"/>
    <w:rsid w:val="00DD0E82"/>
    <w:rsid w:val="00DD146B"/>
    <w:rsid w:val="00DD1895"/>
    <w:rsid w:val="00DD1C2C"/>
    <w:rsid w:val="00DD2270"/>
    <w:rsid w:val="00DD3A07"/>
    <w:rsid w:val="00DD6747"/>
    <w:rsid w:val="00DE12F5"/>
    <w:rsid w:val="00DE1442"/>
    <w:rsid w:val="00DE2BEA"/>
    <w:rsid w:val="00DE2BEE"/>
    <w:rsid w:val="00DE3469"/>
    <w:rsid w:val="00DE55CD"/>
    <w:rsid w:val="00DE565F"/>
    <w:rsid w:val="00DE5F6C"/>
    <w:rsid w:val="00DE5FA4"/>
    <w:rsid w:val="00DE75DE"/>
    <w:rsid w:val="00DF1484"/>
    <w:rsid w:val="00DF7598"/>
    <w:rsid w:val="00DF7E7A"/>
    <w:rsid w:val="00E013D7"/>
    <w:rsid w:val="00E0166E"/>
    <w:rsid w:val="00E018CC"/>
    <w:rsid w:val="00E022F0"/>
    <w:rsid w:val="00E02466"/>
    <w:rsid w:val="00E02AFC"/>
    <w:rsid w:val="00E02E54"/>
    <w:rsid w:val="00E0472E"/>
    <w:rsid w:val="00E05CEF"/>
    <w:rsid w:val="00E0624B"/>
    <w:rsid w:val="00E0769F"/>
    <w:rsid w:val="00E12378"/>
    <w:rsid w:val="00E12A56"/>
    <w:rsid w:val="00E12F60"/>
    <w:rsid w:val="00E13E43"/>
    <w:rsid w:val="00E15095"/>
    <w:rsid w:val="00E15E0E"/>
    <w:rsid w:val="00E16B49"/>
    <w:rsid w:val="00E2060D"/>
    <w:rsid w:val="00E22604"/>
    <w:rsid w:val="00E25092"/>
    <w:rsid w:val="00E31645"/>
    <w:rsid w:val="00E31C9C"/>
    <w:rsid w:val="00E32AE6"/>
    <w:rsid w:val="00E35295"/>
    <w:rsid w:val="00E35837"/>
    <w:rsid w:val="00E35CBD"/>
    <w:rsid w:val="00E35FE4"/>
    <w:rsid w:val="00E36931"/>
    <w:rsid w:val="00E376EB"/>
    <w:rsid w:val="00E414F6"/>
    <w:rsid w:val="00E427A1"/>
    <w:rsid w:val="00E42AB1"/>
    <w:rsid w:val="00E45852"/>
    <w:rsid w:val="00E4636C"/>
    <w:rsid w:val="00E47D01"/>
    <w:rsid w:val="00E51921"/>
    <w:rsid w:val="00E55313"/>
    <w:rsid w:val="00E553F5"/>
    <w:rsid w:val="00E55B29"/>
    <w:rsid w:val="00E55EBD"/>
    <w:rsid w:val="00E60936"/>
    <w:rsid w:val="00E61043"/>
    <w:rsid w:val="00E62E83"/>
    <w:rsid w:val="00E6357E"/>
    <w:rsid w:val="00E65883"/>
    <w:rsid w:val="00E65B86"/>
    <w:rsid w:val="00E669CA"/>
    <w:rsid w:val="00E679B2"/>
    <w:rsid w:val="00E70184"/>
    <w:rsid w:val="00E706A2"/>
    <w:rsid w:val="00E72405"/>
    <w:rsid w:val="00E732E3"/>
    <w:rsid w:val="00E7334E"/>
    <w:rsid w:val="00E7342A"/>
    <w:rsid w:val="00E73CDB"/>
    <w:rsid w:val="00E73DDD"/>
    <w:rsid w:val="00E73E63"/>
    <w:rsid w:val="00E73F62"/>
    <w:rsid w:val="00E7448E"/>
    <w:rsid w:val="00E80ED2"/>
    <w:rsid w:val="00E827DF"/>
    <w:rsid w:val="00E84A52"/>
    <w:rsid w:val="00E84E9C"/>
    <w:rsid w:val="00E8529A"/>
    <w:rsid w:val="00E85F6A"/>
    <w:rsid w:val="00E87600"/>
    <w:rsid w:val="00E906E7"/>
    <w:rsid w:val="00E92123"/>
    <w:rsid w:val="00E92805"/>
    <w:rsid w:val="00E95034"/>
    <w:rsid w:val="00E95D2B"/>
    <w:rsid w:val="00E96C20"/>
    <w:rsid w:val="00E97C7D"/>
    <w:rsid w:val="00EA0433"/>
    <w:rsid w:val="00EA0B00"/>
    <w:rsid w:val="00EA1477"/>
    <w:rsid w:val="00EA1A64"/>
    <w:rsid w:val="00EA1AE7"/>
    <w:rsid w:val="00EA3466"/>
    <w:rsid w:val="00EA41FF"/>
    <w:rsid w:val="00EA64E1"/>
    <w:rsid w:val="00EA67C1"/>
    <w:rsid w:val="00EB0A88"/>
    <w:rsid w:val="00EB2B50"/>
    <w:rsid w:val="00EB5AB4"/>
    <w:rsid w:val="00EB5BEF"/>
    <w:rsid w:val="00EB713F"/>
    <w:rsid w:val="00EC0D31"/>
    <w:rsid w:val="00EC410B"/>
    <w:rsid w:val="00EC48DF"/>
    <w:rsid w:val="00EC4E0F"/>
    <w:rsid w:val="00EC6501"/>
    <w:rsid w:val="00EC68B4"/>
    <w:rsid w:val="00EC7AA9"/>
    <w:rsid w:val="00ED0084"/>
    <w:rsid w:val="00ED15E7"/>
    <w:rsid w:val="00ED2486"/>
    <w:rsid w:val="00ED2502"/>
    <w:rsid w:val="00ED6093"/>
    <w:rsid w:val="00ED7CF1"/>
    <w:rsid w:val="00ED7DB4"/>
    <w:rsid w:val="00EE2D51"/>
    <w:rsid w:val="00EE3227"/>
    <w:rsid w:val="00EE3448"/>
    <w:rsid w:val="00EE3FA2"/>
    <w:rsid w:val="00EE5B67"/>
    <w:rsid w:val="00EE6513"/>
    <w:rsid w:val="00EE7A1E"/>
    <w:rsid w:val="00EE7E1B"/>
    <w:rsid w:val="00EE7FEA"/>
    <w:rsid w:val="00EF1331"/>
    <w:rsid w:val="00EF18A2"/>
    <w:rsid w:val="00EF1D17"/>
    <w:rsid w:val="00EF2AED"/>
    <w:rsid w:val="00EF2E1D"/>
    <w:rsid w:val="00EF36AC"/>
    <w:rsid w:val="00EF3FC4"/>
    <w:rsid w:val="00EF68D8"/>
    <w:rsid w:val="00EF7988"/>
    <w:rsid w:val="00F00634"/>
    <w:rsid w:val="00F018B2"/>
    <w:rsid w:val="00F019E3"/>
    <w:rsid w:val="00F03A52"/>
    <w:rsid w:val="00F042CA"/>
    <w:rsid w:val="00F0723C"/>
    <w:rsid w:val="00F10371"/>
    <w:rsid w:val="00F10728"/>
    <w:rsid w:val="00F13913"/>
    <w:rsid w:val="00F15EF4"/>
    <w:rsid w:val="00F16EE4"/>
    <w:rsid w:val="00F1721D"/>
    <w:rsid w:val="00F17B5D"/>
    <w:rsid w:val="00F20203"/>
    <w:rsid w:val="00F204F2"/>
    <w:rsid w:val="00F20AB7"/>
    <w:rsid w:val="00F20AEB"/>
    <w:rsid w:val="00F21616"/>
    <w:rsid w:val="00F21A90"/>
    <w:rsid w:val="00F21FCE"/>
    <w:rsid w:val="00F2247A"/>
    <w:rsid w:val="00F22DC6"/>
    <w:rsid w:val="00F22DF3"/>
    <w:rsid w:val="00F237FD"/>
    <w:rsid w:val="00F2437D"/>
    <w:rsid w:val="00F25C17"/>
    <w:rsid w:val="00F25E20"/>
    <w:rsid w:val="00F26BCF"/>
    <w:rsid w:val="00F27027"/>
    <w:rsid w:val="00F27C18"/>
    <w:rsid w:val="00F30D3F"/>
    <w:rsid w:val="00F32E88"/>
    <w:rsid w:val="00F36972"/>
    <w:rsid w:val="00F4081C"/>
    <w:rsid w:val="00F42ED9"/>
    <w:rsid w:val="00F43A48"/>
    <w:rsid w:val="00F44E31"/>
    <w:rsid w:val="00F51380"/>
    <w:rsid w:val="00F513E8"/>
    <w:rsid w:val="00F53AB1"/>
    <w:rsid w:val="00F54C61"/>
    <w:rsid w:val="00F568A3"/>
    <w:rsid w:val="00F5695C"/>
    <w:rsid w:val="00F60A3D"/>
    <w:rsid w:val="00F61BB9"/>
    <w:rsid w:val="00F61D8C"/>
    <w:rsid w:val="00F62152"/>
    <w:rsid w:val="00F63C52"/>
    <w:rsid w:val="00F63F5F"/>
    <w:rsid w:val="00F646D3"/>
    <w:rsid w:val="00F6491C"/>
    <w:rsid w:val="00F650DF"/>
    <w:rsid w:val="00F677F7"/>
    <w:rsid w:val="00F70177"/>
    <w:rsid w:val="00F70C90"/>
    <w:rsid w:val="00F7208A"/>
    <w:rsid w:val="00F733B5"/>
    <w:rsid w:val="00F734A2"/>
    <w:rsid w:val="00F73996"/>
    <w:rsid w:val="00F73CD5"/>
    <w:rsid w:val="00F74E01"/>
    <w:rsid w:val="00F76188"/>
    <w:rsid w:val="00F766CE"/>
    <w:rsid w:val="00F808CF"/>
    <w:rsid w:val="00F80A42"/>
    <w:rsid w:val="00F8294D"/>
    <w:rsid w:val="00F836E1"/>
    <w:rsid w:val="00F837B2"/>
    <w:rsid w:val="00F83B79"/>
    <w:rsid w:val="00F85776"/>
    <w:rsid w:val="00F91751"/>
    <w:rsid w:val="00F91D8A"/>
    <w:rsid w:val="00F91F42"/>
    <w:rsid w:val="00F93848"/>
    <w:rsid w:val="00F95999"/>
    <w:rsid w:val="00F95D7B"/>
    <w:rsid w:val="00FA0404"/>
    <w:rsid w:val="00FA05F9"/>
    <w:rsid w:val="00FA11D3"/>
    <w:rsid w:val="00FA21D5"/>
    <w:rsid w:val="00FA3300"/>
    <w:rsid w:val="00FA4383"/>
    <w:rsid w:val="00FA4397"/>
    <w:rsid w:val="00FA4D8B"/>
    <w:rsid w:val="00FA4FB5"/>
    <w:rsid w:val="00FA5433"/>
    <w:rsid w:val="00FA5460"/>
    <w:rsid w:val="00FA5B91"/>
    <w:rsid w:val="00FA5C2B"/>
    <w:rsid w:val="00FA7994"/>
    <w:rsid w:val="00FB01F1"/>
    <w:rsid w:val="00FB0BC9"/>
    <w:rsid w:val="00FB15E0"/>
    <w:rsid w:val="00FB2C77"/>
    <w:rsid w:val="00FB3343"/>
    <w:rsid w:val="00FB3F4F"/>
    <w:rsid w:val="00FB43DB"/>
    <w:rsid w:val="00FB57CD"/>
    <w:rsid w:val="00FB5806"/>
    <w:rsid w:val="00FB7E9F"/>
    <w:rsid w:val="00FC1993"/>
    <w:rsid w:val="00FC338C"/>
    <w:rsid w:val="00FC3FDC"/>
    <w:rsid w:val="00FC47FD"/>
    <w:rsid w:val="00FC5B09"/>
    <w:rsid w:val="00FC5C4A"/>
    <w:rsid w:val="00FC63F4"/>
    <w:rsid w:val="00FC7949"/>
    <w:rsid w:val="00FC7CF3"/>
    <w:rsid w:val="00FD11D5"/>
    <w:rsid w:val="00FD17FB"/>
    <w:rsid w:val="00FD3AFC"/>
    <w:rsid w:val="00FD4B98"/>
    <w:rsid w:val="00FD5A62"/>
    <w:rsid w:val="00FD5F90"/>
    <w:rsid w:val="00FD62ED"/>
    <w:rsid w:val="00FD718C"/>
    <w:rsid w:val="00FD7240"/>
    <w:rsid w:val="00FD7E1C"/>
    <w:rsid w:val="00FE016E"/>
    <w:rsid w:val="00FE0591"/>
    <w:rsid w:val="00FE068B"/>
    <w:rsid w:val="00FE1195"/>
    <w:rsid w:val="00FE1290"/>
    <w:rsid w:val="00FE1C9F"/>
    <w:rsid w:val="00FE2266"/>
    <w:rsid w:val="00FE395D"/>
    <w:rsid w:val="00FE508E"/>
    <w:rsid w:val="00FE580E"/>
    <w:rsid w:val="00FE5E39"/>
    <w:rsid w:val="00FE6FE5"/>
    <w:rsid w:val="00FE7447"/>
    <w:rsid w:val="00FE7558"/>
    <w:rsid w:val="00FF0612"/>
    <w:rsid w:val="00FF2907"/>
    <w:rsid w:val="00FF407E"/>
    <w:rsid w:val="00FF42C9"/>
    <w:rsid w:val="00FF5958"/>
    <w:rsid w:val="00FF63D7"/>
    <w:rsid w:val="00FF6F42"/>
    <w:rsid w:val="00FF6FB1"/>
    <w:rsid w:val="00FF701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47BAA"/>
  <w15:docId w15:val="{F77F9CD1-C4E7-4235-B2C9-B65BE004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A32"/>
    <w:pPr>
      <w:spacing w:after="0" w:line="240" w:lineRule="auto"/>
    </w:pPr>
    <w:rPr>
      <w:rFonts w:ascii="Arial" w:eastAsia="Times New Roman" w:hAnsi="Arial" w:cs="Times New Roman"/>
      <w:szCs w:val="20"/>
    </w:rPr>
  </w:style>
  <w:style w:type="paragraph" w:styleId="Ttulo1">
    <w:name w:val="heading 1"/>
    <w:basedOn w:val="Normal"/>
    <w:next w:val="Normal"/>
    <w:link w:val="Ttulo1Car"/>
    <w:uiPriority w:val="9"/>
    <w:qFormat/>
    <w:rsid w:val="003B0C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0">
    <w:name w:val="heading 2"/>
    <w:basedOn w:val="Normal"/>
    <w:next w:val="Normal"/>
    <w:link w:val="Ttulo2Car"/>
    <w:uiPriority w:val="9"/>
    <w:unhideWhenUsed/>
    <w:qFormat/>
    <w:rsid w:val="00B26C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678B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8D0A1E"/>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9678B4"/>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nhideWhenUsed/>
    <w:qFormat/>
    <w:rsid w:val="00F53AB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qFormat/>
    <w:rsid w:val="00F53AB1"/>
    <w:pPr>
      <w:keepNext/>
      <w:suppressAutoHyphens/>
      <w:ind w:left="-1560"/>
      <w:jc w:val="both"/>
      <w:outlineLvl w:val="6"/>
    </w:pPr>
    <w:rPr>
      <w:b/>
      <w:sz w:val="24"/>
      <w:lang w:val="es-ES_tradnl" w:eastAsia="ar-SA"/>
    </w:rPr>
  </w:style>
  <w:style w:type="paragraph" w:styleId="Ttulo8">
    <w:name w:val="heading 8"/>
    <w:basedOn w:val="Normal"/>
    <w:next w:val="Normal"/>
    <w:link w:val="Ttulo8Car"/>
    <w:qFormat/>
    <w:rsid w:val="00F53AB1"/>
    <w:pPr>
      <w:keepNext/>
      <w:suppressAutoHyphens/>
      <w:ind w:left="-960"/>
      <w:outlineLvl w:val="7"/>
    </w:pPr>
    <w:rPr>
      <w:b/>
      <w:sz w:val="24"/>
      <w:lang w:val="es-ES_tradnl" w:eastAsia="ar-SA"/>
    </w:rPr>
  </w:style>
  <w:style w:type="paragraph" w:styleId="Ttulo9">
    <w:name w:val="heading 9"/>
    <w:basedOn w:val="Normal"/>
    <w:next w:val="Normal"/>
    <w:link w:val="Ttulo9Car"/>
    <w:qFormat/>
    <w:rsid w:val="00F53AB1"/>
    <w:pPr>
      <w:keepNext/>
      <w:suppressAutoHyphens/>
      <w:ind w:left="-1080"/>
      <w:outlineLvl w:val="8"/>
    </w:pPr>
    <w:rPr>
      <w:b/>
      <w:sz w:val="24"/>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D7A32"/>
    <w:pPr>
      <w:tabs>
        <w:tab w:val="center" w:pos="4419"/>
        <w:tab w:val="right" w:pos="8838"/>
      </w:tabs>
    </w:pPr>
  </w:style>
  <w:style w:type="character" w:customStyle="1" w:styleId="EncabezadoCar">
    <w:name w:val="Encabezado Car"/>
    <w:basedOn w:val="Fuentedeprrafopredeter"/>
    <w:link w:val="Encabezado"/>
    <w:rsid w:val="009D7A32"/>
  </w:style>
  <w:style w:type="paragraph" w:styleId="Piedepgina">
    <w:name w:val="footer"/>
    <w:basedOn w:val="Normal"/>
    <w:link w:val="PiedepginaCar"/>
    <w:uiPriority w:val="99"/>
    <w:unhideWhenUsed/>
    <w:rsid w:val="009D7A32"/>
    <w:pPr>
      <w:tabs>
        <w:tab w:val="center" w:pos="4419"/>
        <w:tab w:val="right" w:pos="8838"/>
      </w:tabs>
    </w:pPr>
  </w:style>
  <w:style w:type="character" w:customStyle="1" w:styleId="PiedepginaCar">
    <w:name w:val="Pie de página Car"/>
    <w:basedOn w:val="Fuentedeprrafopredeter"/>
    <w:link w:val="Piedepgina"/>
    <w:uiPriority w:val="99"/>
    <w:rsid w:val="009D7A32"/>
  </w:style>
  <w:style w:type="paragraph" w:styleId="Textoindependiente">
    <w:name w:val="Body Text"/>
    <w:aliases w:val="body text,bt,Subsection Body Text"/>
    <w:basedOn w:val="Normal"/>
    <w:link w:val="TextoindependienteCar"/>
    <w:rsid w:val="009D7A32"/>
    <w:pPr>
      <w:spacing w:line="360" w:lineRule="auto"/>
      <w:jc w:val="both"/>
    </w:pPr>
  </w:style>
  <w:style w:type="character" w:customStyle="1" w:styleId="TextoindependienteCar">
    <w:name w:val="Texto independiente Car"/>
    <w:aliases w:val="body text Car,bt Car,Subsection Body Text Car"/>
    <w:basedOn w:val="Fuentedeprrafopredeter"/>
    <w:link w:val="Textoindependiente"/>
    <w:rsid w:val="009D7A32"/>
    <w:rPr>
      <w:rFonts w:ascii="Arial" w:eastAsia="Times New Roman" w:hAnsi="Arial" w:cs="Times New Roman"/>
      <w:szCs w:val="20"/>
    </w:rPr>
  </w:style>
  <w:style w:type="paragraph" w:styleId="Textonotapie">
    <w:name w:val="footnote text"/>
    <w:basedOn w:val="Normal"/>
    <w:link w:val="TextonotapieCar"/>
    <w:semiHidden/>
    <w:rsid w:val="009D7A32"/>
    <w:rPr>
      <w:sz w:val="20"/>
    </w:rPr>
  </w:style>
  <w:style w:type="character" w:customStyle="1" w:styleId="TextonotapieCar">
    <w:name w:val="Texto nota pie Car"/>
    <w:basedOn w:val="Fuentedeprrafopredeter"/>
    <w:link w:val="Textonotapie"/>
    <w:semiHidden/>
    <w:rsid w:val="009D7A32"/>
    <w:rPr>
      <w:rFonts w:ascii="Arial" w:eastAsia="Times New Roman" w:hAnsi="Arial" w:cs="Times New Roman"/>
      <w:sz w:val="20"/>
      <w:szCs w:val="20"/>
    </w:rPr>
  </w:style>
  <w:style w:type="paragraph" w:styleId="Textodeglobo">
    <w:name w:val="Balloon Text"/>
    <w:basedOn w:val="Normal"/>
    <w:link w:val="TextodegloboCar"/>
    <w:semiHidden/>
    <w:rsid w:val="009D7A32"/>
    <w:rPr>
      <w:rFonts w:ascii="Tahoma" w:hAnsi="Tahoma" w:cs="Tahoma"/>
      <w:sz w:val="16"/>
      <w:szCs w:val="16"/>
    </w:rPr>
  </w:style>
  <w:style w:type="character" w:customStyle="1" w:styleId="TextodegloboCar">
    <w:name w:val="Texto de globo Car"/>
    <w:basedOn w:val="Fuentedeprrafopredeter"/>
    <w:link w:val="Textodeglobo"/>
    <w:semiHidden/>
    <w:rsid w:val="009D7A32"/>
    <w:rPr>
      <w:rFonts w:ascii="Tahoma" w:eastAsia="Times New Roman" w:hAnsi="Tahoma" w:cs="Tahoma"/>
      <w:sz w:val="16"/>
      <w:szCs w:val="16"/>
    </w:rPr>
  </w:style>
  <w:style w:type="paragraph" w:customStyle="1" w:styleId="CUERPOTEXTO">
    <w:name w:val="CUERPO TEXTO"/>
    <w:rsid w:val="009D7A32"/>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character" w:styleId="Nmerodepgina">
    <w:name w:val="page number"/>
    <w:basedOn w:val="Fuentedeprrafopredeter"/>
    <w:rsid w:val="00EA64E1"/>
  </w:style>
  <w:style w:type="paragraph" w:styleId="Prrafodelista">
    <w:name w:val="List Paragraph"/>
    <w:aliases w:val="EY EPM - Lista"/>
    <w:basedOn w:val="Normal"/>
    <w:link w:val="PrrafodelistaCar"/>
    <w:uiPriority w:val="34"/>
    <w:qFormat/>
    <w:rsid w:val="006B731D"/>
    <w:pPr>
      <w:ind w:left="720"/>
      <w:contextualSpacing/>
    </w:pPr>
  </w:style>
  <w:style w:type="paragraph" w:customStyle="1" w:styleId="Default">
    <w:name w:val="Default"/>
    <w:rsid w:val="00470EFD"/>
    <w:pPr>
      <w:autoSpaceDE w:val="0"/>
      <w:autoSpaceDN w:val="0"/>
      <w:adjustRightInd w:val="0"/>
      <w:spacing w:after="0" w:line="240" w:lineRule="auto"/>
    </w:pPr>
    <w:rPr>
      <w:rFonts w:ascii="Arial" w:hAnsi="Arial" w:cs="Arial"/>
      <w:color w:val="000000"/>
      <w:sz w:val="24"/>
      <w:szCs w:val="24"/>
    </w:rPr>
  </w:style>
  <w:style w:type="character" w:styleId="Fuerte">
    <w:name w:val="Strong"/>
    <w:basedOn w:val="Fuentedeprrafopredeter"/>
    <w:uiPriority w:val="22"/>
    <w:qFormat/>
    <w:rsid w:val="00092AF5"/>
    <w:rPr>
      <w:b/>
      <w:bCs/>
    </w:rPr>
  </w:style>
  <w:style w:type="character" w:customStyle="1" w:styleId="Ttulo1Car">
    <w:name w:val="Título 1 Car"/>
    <w:basedOn w:val="Fuentedeprrafopredeter"/>
    <w:link w:val="Ttulo1"/>
    <w:uiPriority w:val="9"/>
    <w:rsid w:val="003B0C5F"/>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3B0C5F"/>
    <w:pPr>
      <w:spacing w:line="276" w:lineRule="auto"/>
      <w:outlineLvl w:val="9"/>
    </w:pPr>
    <w:rPr>
      <w:lang w:eastAsia="es-CO"/>
    </w:rPr>
  </w:style>
  <w:style w:type="paragraph" w:styleId="TDC1">
    <w:name w:val="toc 1"/>
    <w:basedOn w:val="Normal"/>
    <w:next w:val="Normal"/>
    <w:autoRedefine/>
    <w:uiPriority w:val="39"/>
    <w:unhideWhenUsed/>
    <w:qFormat/>
    <w:rsid w:val="003B0C5F"/>
    <w:pPr>
      <w:spacing w:after="100"/>
    </w:pPr>
  </w:style>
  <w:style w:type="character" w:styleId="Hipervnculo">
    <w:name w:val="Hyperlink"/>
    <w:basedOn w:val="Fuentedeprrafopredeter"/>
    <w:uiPriority w:val="99"/>
    <w:unhideWhenUsed/>
    <w:rsid w:val="003B0C5F"/>
    <w:rPr>
      <w:color w:val="0000FF" w:themeColor="hyperlink"/>
      <w:u w:val="single"/>
    </w:rPr>
  </w:style>
  <w:style w:type="character" w:styleId="nfasisintenso">
    <w:name w:val="Intense Emphasis"/>
    <w:basedOn w:val="Fuentedeprrafopredeter"/>
    <w:uiPriority w:val="21"/>
    <w:qFormat/>
    <w:rsid w:val="003B0C5F"/>
    <w:rPr>
      <w:b/>
      <w:bCs/>
      <w:i/>
      <w:iCs/>
      <w:color w:val="4F81BD" w:themeColor="accent1"/>
    </w:rPr>
  </w:style>
  <w:style w:type="character" w:styleId="nfasis">
    <w:name w:val="Emphasis"/>
    <w:basedOn w:val="Fuentedeprrafopredeter"/>
    <w:uiPriority w:val="20"/>
    <w:qFormat/>
    <w:rsid w:val="003B0C5F"/>
    <w:rPr>
      <w:i/>
      <w:iCs/>
    </w:rPr>
  </w:style>
  <w:style w:type="character" w:styleId="nfasissutil">
    <w:name w:val="Subtle Emphasis"/>
    <w:basedOn w:val="Fuentedeprrafopredeter"/>
    <w:uiPriority w:val="19"/>
    <w:qFormat/>
    <w:rsid w:val="003B0C5F"/>
    <w:rPr>
      <w:i/>
      <w:iCs/>
      <w:color w:val="808080" w:themeColor="text1" w:themeTint="7F"/>
    </w:rPr>
  </w:style>
  <w:style w:type="character" w:styleId="Refdenotaalpie">
    <w:name w:val="footnote reference"/>
    <w:basedOn w:val="Fuentedeprrafopredeter"/>
    <w:uiPriority w:val="99"/>
    <w:semiHidden/>
    <w:unhideWhenUsed/>
    <w:rsid w:val="00B35ECE"/>
    <w:rPr>
      <w:vertAlign w:val="superscript"/>
    </w:rPr>
  </w:style>
  <w:style w:type="character" w:styleId="Ttulodellibro">
    <w:name w:val="Book Title"/>
    <w:basedOn w:val="Fuentedeprrafopredeter"/>
    <w:uiPriority w:val="33"/>
    <w:qFormat/>
    <w:rsid w:val="00BE04B2"/>
    <w:rPr>
      <w:b/>
      <w:bCs/>
      <w:smallCaps/>
      <w:spacing w:val="5"/>
    </w:rPr>
  </w:style>
  <w:style w:type="paragraph" w:styleId="Textonotaalfinal">
    <w:name w:val="endnote text"/>
    <w:basedOn w:val="Normal"/>
    <w:link w:val="TextonotaalfinalCar"/>
    <w:uiPriority w:val="99"/>
    <w:semiHidden/>
    <w:unhideWhenUsed/>
    <w:rsid w:val="00BA07DE"/>
    <w:rPr>
      <w:sz w:val="20"/>
    </w:rPr>
  </w:style>
  <w:style w:type="character" w:customStyle="1" w:styleId="TextonotaalfinalCar">
    <w:name w:val="Texto nota al final Car"/>
    <w:basedOn w:val="Fuentedeprrafopredeter"/>
    <w:link w:val="Textonotaalfinal"/>
    <w:uiPriority w:val="99"/>
    <w:semiHidden/>
    <w:rsid w:val="00BA07DE"/>
    <w:rPr>
      <w:rFonts w:ascii="Arial" w:eastAsia="Times New Roman" w:hAnsi="Arial" w:cs="Times New Roman"/>
      <w:sz w:val="20"/>
      <w:szCs w:val="20"/>
    </w:rPr>
  </w:style>
  <w:style w:type="character" w:styleId="Refdenotaalfinal">
    <w:name w:val="endnote reference"/>
    <w:basedOn w:val="Fuentedeprrafopredeter"/>
    <w:uiPriority w:val="99"/>
    <w:semiHidden/>
    <w:unhideWhenUsed/>
    <w:rsid w:val="00BA07DE"/>
    <w:rPr>
      <w:vertAlign w:val="superscript"/>
    </w:rPr>
  </w:style>
  <w:style w:type="table" w:styleId="Tablaconcuadrcula">
    <w:name w:val="Table Grid"/>
    <w:basedOn w:val="Tablanormal"/>
    <w:uiPriority w:val="59"/>
    <w:rsid w:val="00867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0"/>
    <w:uiPriority w:val="9"/>
    <w:rsid w:val="00B26CF1"/>
    <w:rPr>
      <w:rFonts w:asciiTheme="majorHAnsi" w:eastAsiaTheme="majorEastAsia" w:hAnsiTheme="majorHAnsi" w:cstheme="majorBidi"/>
      <w:b/>
      <w:bCs/>
      <w:color w:val="4F81BD" w:themeColor="accent1"/>
      <w:sz w:val="26"/>
      <w:szCs w:val="26"/>
    </w:rPr>
  </w:style>
  <w:style w:type="table" w:customStyle="1" w:styleId="Tabladelista3-nfasis31">
    <w:name w:val="Tabla de lista 3 - Énfasis 31"/>
    <w:basedOn w:val="Tablanormal"/>
    <w:uiPriority w:val="48"/>
    <w:rsid w:val="001E2D9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4-nfasis31">
    <w:name w:val="Tabla de lista 4 - Énfasis 31"/>
    <w:basedOn w:val="Tablanormal"/>
    <w:uiPriority w:val="49"/>
    <w:rsid w:val="001E2D9F"/>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tulo4Car">
    <w:name w:val="Título 4 Car"/>
    <w:basedOn w:val="Fuentedeprrafopredeter"/>
    <w:link w:val="Ttulo4"/>
    <w:uiPriority w:val="9"/>
    <w:rsid w:val="008D0A1E"/>
    <w:rPr>
      <w:rFonts w:asciiTheme="majorHAnsi" w:eastAsiaTheme="majorEastAsia" w:hAnsiTheme="majorHAnsi" w:cstheme="majorBidi"/>
      <w:b/>
      <w:bCs/>
      <w:i/>
      <w:iCs/>
      <w:color w:val="4F81BD" w:themeColor="accent1"/>
      <w:szCs w:val="20"/>
    </w:rPr>
  </w:style>
  <w:style w:type="character" w:customStyle="1" w:styleId="Ttulo3Car">
    <w:name w:val="Título 3 Car"/>
    <w:basedOn w:val="Fuentedeprrafopredeter"/>
    <w:link w:val="Ttulo3"/>
    <w:uiPriority w:val="9"/>
    <w:rsid w:val="009678B4"/>
    <w:rPr>
      <w:rFonts w:asciiTheme="majorHAnsi" w:eastAsiaTheme="majorEastAsia" w:hAnsiTheme="majorHAnsi" w:cstheme="majorBidi"/>
      <w:color w:val="243F60" w:themeColor="accent1" w:themeShade="7F"/>
      <w:sz w:val="24"/>
      <w:szCs w:val="24"/>
    </w:rPr>
  </w:style>
  <w:style w:type="character" w:customStyle="1" w:styleId="Ttulo5Car">
    <w:name w:val="Título 5 Car"/>
    <w:basedOn w:val="Fuentedeprrafopredeter"/>
    <w:link w:val="Ttulo5"/>
    <w:uiPriority w:val="9"/>
    <w:rsid w:val="009678B4"/>
    <w:rPr>
      <w:rFonts w:asciiTheme="majorHAnsi" w:eastAsiaTheme="majorEastAsia" w:hAnsiTheme="majorHAnsi" w:cstheme="majorBidi"/>
      <w:color w:val="365F91" w:themeColor="accent1" w:themeShade="BF"/>
      <w:szCs w:val="20"/>
    </w:rPr>
  </w:style>
  <w:style w:type="paragraph" w:styleId="TDC3">
    <w:name w:val="toc 3"/>
    <w:basedOn w:val="Normal"/>
    <w:next w:val="Normal"/>
    <w:autoRedefine/>
    <w:uiPriority w:val="39"/>
    <w:unhideWhenUsed/>
    <w:qFormat/>
    <w:rsid w:val="00B26E1D"/>
    <w:pPr>
      <w:tabs>
        <w:tab w:val="right" w:leader="dot" w:pos="8830"/>
      </w:tabs>
      <w:spacing w:after="100"/>
    </w:pPr>
    <w:rPr>
      <w:rFonts w:eastAsiaTheme="minorHAnsi" w:cs="Arial"/>
      <w:bCs/>
      <w:noProof/>
    </w:rPr>
  </w:style>
  <w:style w:type="paragraph" w:styleId="HTMLconformatoprevio">
    <w:name w:val="HTML Preformatted"/>
    <w:basedOn w:val="Normal"/>
    <w:link w:val="HTMLconformatoprevioCar"/>
    <w:uiPriority w:val="99"/>
    <w:unhideWhenUsed/>
    <w:rsid w:val="00105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s-CO"/>
    </w:rPr>
  </w:style>
  <w:style w:type="character" w:customStyle="1" w:styleId="HTMLconformatoprevioCar">
    <w:name w:val="HTML con formato previo Car"/>
    <w:basedOn w:val="Fuentedeprrafopredeter"/>
    <w:link w:val="HTMLconformatoprevio"/>
    <w:uiPriority w:val="99"/>
    <w:rsid w:val="00105D14"/>
    <w:rPr>
      <w:rFonts w:ascii="Courier New" w:eastAsia="Times New Roman" w:hAnsi="Courier New" w:cs="Courier New"/>
      <w:sz w:val="20"/>
      <w:szCs w:val="20"/>
      <w:lang w:eastAsia="es-CO"/>
    </w:rPr>
  </w:style>
  <w:style w:type="paragraph" w:styleId="TDC2">
    <w:name w:val="toc 2"/>
    <w:basedOn w:val="Normal"/>
    <w:next w:val="Normal"/>
    <w:autoRedefine/>
    <w:uiPriority w:val="39"/>
    <w:unhideWhenUsed/>
    <w:qFormat/>
    <w:rsid w:val="00B26E1D"/>
    <w:pPr>
      <w:spacing w:after="100"/>
      <w:ind w:left="220"/>
    </w:pPr>
  </w:style>
  <w:style w:type="character" w:customStyle="1" w:styleId="Ttulo6Car">
    <w:name w:val="Título 6 Car"/>
    <w:basedOn w:val="Fuentedeprrafopredeter"/>
    <w:link w:val="Ttulo6"/>
    <w:rsid w:val="00F53AB1"/>
    <w:rPr>
      <w:rFonts w:asciiTheme="majorHAnsi" w:eastAsiaTheme="majorEastAsia" w:hAnsiTheme="majorHAnsi" w:cstheme="majorBidi"/>
      <w:i/>
      <w:iCs/>
      <w:color w:val="243F60" w:themeColor="accent1" w:themeShade="7F"/>
      <w:szCs w:val="20"/>
    </w:rPr>
  </w:style>
  <w:style w:type="character" w:customStyle="1" w:styleId="Ttulo7Car">
    <w:name w:val="Título 7 Car"/>
    <w:basedOn w:val="Fuentedeprrafopredeter"/>
    <w:link w:val="Ttulo7"/>
    <w:rsid w:val="00F53AB1"/>
    <w:rPr>
      <w:rFonts w:ascii="Arial" w:eastAsia="Times New Roman" w:hAnsi="Arial" w:cs="Times New Roman"/>
      <w:b/>
      <w:sz w:val="24"/>
      <w:szCs w:val="20"/>
      <w:lang w:val="es-ES_tradnl" w:eastAsia="ar-SA"/>
    </w:rPr>
  </w:style>
  <w:style w:type="character" w:customStyle="1" w:styleId="Ttulo8Car">
    <w:name w:val="Título 8 Car"/>
    <w:basedOn w:val="Fuentedeprrafopredeter"/>
    <w:link w:val="Ttulo8"/>
    <w:rsid w:val="00F53AB1"/>
    <w:rPr>
      <w:rFonts w:ascii="Arial" w:eastAsia="Times New Roman" w:hAnsi="Arial" w:cs="Times New Roman"/>
      <w:b/>
      <w:sz w:val="24"/>
      <w:szCs w:val="20"/>
      <w:lang w:val="es-ES_tradnl" w:eastAsia="ar-SA"/>
    </w:rPr>
  </w:style>
  <w:style w:type="character" w:customStyle="1" w:styleId="Ttulo9Car">
    <w:name w:val="Título 9 Car"/>
    <w:basedOn w:val="Fuentedeprrafopredeter"/>
    <w:link w:val="Ttulo9"/>
    <w:rsid w:val="00F53AB1"/>
    <w:rPr>
      <w:rFonts w:ascii="Arial" w:eastAsia="Times New Roman" w:hAnsi="Arial" w:cs="Times New Roman"/>
      <w:b/>
      <w:sz w:val="24"/>
      <w:szCs w:val="20"/>
      <w:lang w:val="es-ES_tradnl" w:eastAsia="ar-SA"/>
    </w:rPr>
  </w:style>
  <w:style w:type="character" w:customStyle="1" w:styleId="PrrafodelistaCar">
    <w:name w:val="Párrafo de lista Car"/>
    <w:aliases w:val="EY EPM - Lista Car"/>
    <w:link w:val="Prrafodelista"/>
    <w:uiPriority w:val="34"/>
    <w:rsid w:val="00F53AB1"/>
    <w:rPr>
      <w:rFonts w:ascii="Arial" w:eastAsia="Times New Roman" w:hAnsi="Arial" w:cs="Times New Roman"/>
      <w:szCs w:val="20"/>
    </w:rPr>
  </w:style>
  <w:style w:type="paragraph" w:customStyle="1" w:styleId="CM121">
    <w:name w:val="CM121"/>
    <w:basedOn w:val="Default"/>
    <w:next w:val="Default"/>
    <w:uiPriority w:val="99"/>
    <w:rsid w:val="00F53AB1"/>
    <w:pPr>
      <w:spacing w:line="268" w:lineRule="atLeast"/>
    </w:pPr>
    <w:rPr>
      <w:rFonts w:eastAsia="Times New Roman"/>
      <w:color w:val="auto"/>
      <w:lang w:val="es-ES" w:eastAsia="es-CO"/>
    </w:rPr>
  </w:style>
  <w:style w:type="character" w:customStyle="1" w:styleId="apple-converted-space">
    <w:name w:val="apple-converted-space"/>
    <w:rsid w:val="00F53AB1"/>
  </w:style>
  <w:style w:type="paragraph" w:styleId="Textocomentario">
    <w:name w:val="annotation text"/>
    <w:basedOn w:val="Normal"/>
    <w:link w:val="TextocomentarioCar"/>
    <w:unhideWhenUsed/>
    <w:rsid w:val="00F53AB1"/>
    <w:pPr>
      <w:spacing w:after="200"/>
    </w:pPr>
    <w:rPr>
      <w:rFonts w:ascii="Calibri" w:eastAsia="Calibri" w:hAnsi="Calibri"/>
      <w:sz w:val="20"/>
    </w:rPr>
  </w:style>
  <w:style w:type="character" w:customStyle="1" w:styleId="TextocomentarioCar">
    <w:name w:val="Texto comentario Car"/>
    <w:basedOn w:val="Fuentedeprrafopredeter"/>
    <w:link w:val="Textocomentario"/>
    <w:rsid w:val="00F53AB1"/>
    <w:rPr>
      <w:rFonts w:ascii="Calibri" w:eastAsia="Calibri" w:hAnsi="Calibri" w:cs="Times New Roman"/>
      <w:sz w:val="20"/>
      <w:szCs w:val="20"/>
    </w:rPr>
  </w:style>
  <w:style w:type="paragraph" w:styleId="Sinespaciado">
    <w:name w:val="No Spacing"/>
    <w:link w:val="SinespaciadoCar"/>
    <w:uiPriority w:val="1"/>
    <w:qFormat/>
    <w:rsid w:val="00F53AB1"/>
    <w:pPr>
      <w:spacing w:after="0" w:line="240" w:lineRule="auto"/>
    </w:pPr>
    <w:rPr>
      <w:rFonts w:ascii="Calibri" w:eastAsia="Times New Roman" w:hAnsi="Calibri" w:cs="Times New Roman"/>
      <w:lang w:val="en-US" w:eastAsia="es-CO"/>
    </w:rPr>
  </w:style>
  <w:style w:type="character" w:customStyle="1" w:styleId="SinespaciadoCar">
    <w:name w:val="Sin espaciado Car"/>
    <w:link w:val="Sinespaciado"/>
    <w:uiPriority w:val="1"/>
    <w:rsid w:val="00F53AB1"/>
    <w:rPr>
      <w:rFonts w:ascii="Calibri" w:eastAsia="Times New Roman" w:hAnsi="Calibri" w:cs="Times New Roman"/>
      <w:lang w:val="en-US" w:eastAsia="es-CO"/>
    </w:rPr>
  </w:style>
  <w:style w:type="character" w:styleId="Refdecomentario">
    <w:name w:val="annotation reference"/>
    <w:basedOn w:val="Fuentedeprrafopredeter"/>
    <w:unhideWhenUsed/>
    <w:rsid w:val="00F53AB1"/>
    <w:rPr>
      <w:sz w:val="16"/>
      <w:szCs w:val="16"/>
    </w:rPr>
  </w:style>
  <w:style w:type="paragraph" w:styleId="Asuntodelcomentario">
    <w:name w:val="annotation subject"/>
    <w:basedOn w:val="Textocomentario"/>
    <w:next w:val="Textocomentario"/>
    <w:link w:val="AsuntodelcomentarioCar"/>
    <w:unhideWhenUsed/>
    <w:rsid w:val="00F53AB1"/>
    <w:pPr>
      <w:suppressAutoHyphens/>
      <w:spacing w:after="0"/>
    </w:pPr>
    <w:rPr>
      <w:rFonts w:ascii="Arial" w:eastAsia="Times New Roman" w:hAnsi="Arial"/>
      <w:b/>
      <w:bCs/>
      <w:lang w:val="es-ES_tradnl" w:eastAsia="ar-SA"/>
    </w:rPr>
  </w:style>
  <w:style w:type="character" w:customStyle="1" w:styleId="AsuntodelcomentarioCar">
    <w:name w:val="Asunto del comentario Car"/>
    <w:basedOn w:val="TextocomentarioCar"/>
    <w:link w:val="Asuntodelcomentario"/>
    <w:rsid w:val="00F53AB1"/>
    <w:rPr>
      <w:rFonts w:ascii="Arial" w:eastAsia="Times New Roman" w:hAnsi="Arial" w:cs="Times New Roman"/>
      <w:b/>
      <w:bCs/>
      <w:sz w:val="20"/>
      <w:szCs w:val="20"/>
      <w:lang w:val="es-ES_tradnl" w:eastAsia="ar-SA"/>
    </w:rPr>
  </w:style>
  <w:style w:type="paragraph" w:styleId="Textoindependiente2">
    <w:name w:val="Body Text 2"/>
    <w:basedOn w:val="Normal"/>
    <w:link w:val="Textoindependiente2Car"/>
    <w:rsid w:val="00F53AB1"/>
    <w:pPr>
      <w:suppressAutoHyphens/>
      <w:spacing w:after="120" w:line="480" w:lineRule="auto"/>
    </w:pPr>
    <w:rPr>
      <w:sz w:val="24"/>
      <w:lang w:val="es-ES_tradnl" w:eastAsia="ar-SA"/>
    </w:rPr>
  </w:style>
  <w:style w:type="character" w:customStyle="1" w:styleId="Textoindependiente2Car">
    <w:name w:val="Texto independiente 2 Car"/>
    <w:basedOn w:val="Fuentedeprrafopredeter"/>
    <w:link w:val="Textoindependiente2"/>
    <w:rsid w:val="00F53AB1"/>
    <w:rPr>
      <w:rFonts w:ascii="Arial" w:eastAsia="Times New Roman" w:hAnsi="Arial" w:cs="Times New Roman"/>
      <w:sz w:val="24"/>
      <w:szCs w:val="20"/>
      <w:lang w:val="es-ES_tradnl" w:eastAsia="ar-SA"/>
    </w:rPr>
  </w:style>
  <w:style w:type="paragraph" w:styleId="Lista">
    <w:name w:val="List"/>
    <w:basedOn w:val="Textoindependiente"/>
    <w:rsid w:val="00F53AB1"/>
    <w:pPr>
      <w:suppressAutoHyphens/>
      <w:spacing w:line="240" w:lineRule="auto"/>
    </w:pPr>
    <w:rPr>
      <w:rFonts w:cs="Courier New"/>
      <w:sz w:val="24"/>
      <w:lang w:val="es-ES_tradnl" w:eastAsia="ar-SA"/>
    </w:rPr>
  </w:style>
  <w:style w:type="paragraph" w:styleId="NormalWeb">
    <w:name w:val="Normal (Web)"/>
    <w:basedOn w:val="Normal"/>
    <w:rsid w:val="00F53AB1"/>
    <w:pPr>
      <w:suppressAutoHyphens/>
      <w:spacing w:before="100"/>
    </w:pPr>
    <w:rPr>
      <w:sz w:val="24"/>
      <w:lang w:val="es-ES_tradnl" w:eastAsia="ar-SA"/>
    </w:rPr>
  </w:style>
  <w:style w:type="paragraph" w:customStyle="1" w:styleId="WW-Textoindependiente2">
    <w:name w:val="WW-Texto independiente 2"/>
    <w:basedOn w:val="Normal"/>
    <w:rsid w:val="00F53AB1"/>
    <w:pPr>
      <w:suppressAutoHyphens/>
      <w:jc w:val="center"/>
    </w:pPr>
    <w:rPr>
      <w:b/>
      <w:sz w:val="24"/>
      <w:lang w:val="es-ES_tradnl" w:eastAsia="ar-SA"/>
    </w:rPr>
  </w:style>
  <w:style w:type="paragraph" w:styleId="Sangradetextonormal">
    <w:name w:val="Body Text Indent"/>
    <w:basedOn w:val="Normal"/>
    <w:link w:val="SangradetextonormalCar"/>
    <w:rsid w:val="00F53AB1"/>
    <w:pPr>
      <w:suppressAutoHyphens/>
      <w:spacing w:after="120"/>
      <w:ind w:left="283"/>
    </w:pPr>
    <w:rPr>
      <w:sz w:val="24"/>
      <w:lang w:val="es-ES_tradnl" w:eastAsia="ar-SA"/>
    </w:rPr>
  </w:style>
  <w:style w:type="character" w:customStyle="1" w:styleId="SangradetextonormalCar">
    <w:name w:val="Sangría de texto normal Car"/>
    <w:basedOn w:val="Fuentedeprrafopredeter"/>
    <w:link w:val="Sangradetextonormal"/>
    <w:rsid w:val="00F53AB1"/>
    <w:rPr>
      <w:rFonts w:ascii="Arial" w:eastAsia="Times New Roman" w:hAnsi="Arial" w:cs="Times New Roman"/>
      <w:sz w:val="24"/>
      <w:szCs w:val="20"/>
      <w:lang w:val="es-ES_tradnl" w:eastAsia="ar-SA"/>
    </w:rPr>
  </w:style>
  <w:style w:type="paragraph" w:customStyle="1" w:styleId="BodyText21">
    <w:name w:val="Body Text 21"/>
    <w:basedOn w:val="Normal"/>
    <w:rsid w:val="00F53AB1"/>
    <w:pPr>
      <w:spacing w:line="360" w:lineRule="auto"/>
      <w:jc w:val="both"/>
    </w:pPr>
    <w:rPr>
      <w:snapToGrid w:val="0"/>
      <w:sz w:val="24"/>
      <w:lang w:val="es-ES" w:eastAsia="es-ES"/>
    </w:rPr>
  </w:style>
  <w:style w:type="paragraph" w:styleId="Textoindependiente3">
    <w:name w:val="Body Text 3"/>
    <w:basedOn w:val="Normal"/>
    <w:link w:val="Textoindependiente3Car"/>
    <w:rsid w:val="00F53AB1"/>
    <w:pPr>
      <w:suppressAutoHyphens/>
      <w:spacing w:after="120"/>
    </w:pPr>
    <w:rPr>
      <w:sz w:val="16"/>
      <w:szCs w:val="16"/>
      <w:lang w:val="es-ES_tradnl" w:eastAsia="ar-SA"/>
    </w:rPr>
  </w:style>
  <w:style w:type="character" w:customStyle="1" w:styleId="Textoindependiente3Car">
    <w:name w:val="Texto independiente 3 Car"/>
    <w:basedOn w:val="Fuentedeprrafopredeter"/>
    <w:link w:val="Textoindependiente3"/>
    <w:rsid w:val="00F53AB1"/>
    <w:rPr>
      <w:rFonts w:ascii="Arial" w:eastAsia="Times New Roman" w:hAnsi="Arial" w:cs="Times New Roman"/>
      <w:sz w:val="16"/>
      <w:szCs w:val="16"/>
      <w:lang w:val="es-ES_tradnl" w:eastAsia="ar-SA"/>
    </w:rPr>
  </w:style>
  <w:style w:type="paragraph" w:styleId="Sangra2detindependiente">
    <w:name w:val="Body Text Indent 2"/>
    <w:basedOn w:val="Normal"/>
    <w:link w:val="Sangra2detindependienteCar"/>
    <w:rsid w:val="00F53AB1"/>
    <w:pPr>
      <w:suppressAutoHyphens/>
      <w:ind w:left="-840"/>
      <w:jc w:val="both"/>
    </w:pPr>
    <w:rPr>
      <w:color w:val="0000FF"/>
      <w:sz w:val="24"/>
      <w:lang w:val="es-ES_tradnl" w:eastAsia="ar-SA"/>
    </w:rPr>
  </w:style>
  <w:style w:type="character" w:customStyle="1" w:styleId="Sangra2detindependienteCar">
    <w:name w:val="Sangría 2 de t. independiente Car"/>
    <w:basedOn w:val="Fuentedeprrafopredeter"/>
    <w:link w:val="Sangra2detindependiente"/>
    <w:rsid w:val="00F53AB1"/>
    <w:rPr>
      <w:rFonts w:ascii="Arial" w:eastAsia="Times New Roman" w:hAnsi="Arial" w:cs="Times New Roman"/>
      <w:color w:val="0000FF"/>
      <w:sz w:val="24"/>
      <w:szCs w:val="20"/>
      <w:lang w:val="es-ES_tradnl" w:eastAsia="ar-SA"/>
    </w:rPr>
  </w:style>
  <w:style w:type="paragraph" w:styleId="Sangra3detindependiente">
    <w:name w:val="Body Text Indent 3"/>
    <w:basedOn w:val="Normal"/>
    <w:link w:val="Sangra3detindependienteCar"/>
    <w:rsid w:val="00F53AB1"/>
    <w:pPr>
      <w:suppressAutoHyphens/>
      <w:ind w:left="-1320"/>
      <w:jc w:val="both"/>
    </w:pPr>
    <w:rPr>
      <w:sz w:val="24"/>
      <w:lang w:val="es-ES_tradnl" w:eastAsia="ar-SA"/>
    </w:rPr>
  </w:style>
  <w:style w:type="character" w:customStyle="1" w:styleId="Sangra3detindependienteCar">
    <w:name w:val="Sangría 3 de t. independiente Car"/>
    <w:basedOn w:val="Fuentedeprrafopredeter"/>
    <w:link w:val="Sangra3detindependiente"/>
    <w:rsid w:val="00F53AB1"/>
    <w:rPr>
      <w:rFonts w:ascii="Arial" w:eastAsia="Times New Roman" w:hAnsi="Arial" w:cs="Times New Roman"/>
      <w:sz w:val="24"/>
      <w:szCs w:val="20"/>
      <w:lang w:val="es-ES_tradnl" w:eastAsia="ar-SA"/>
    </w:rPr>
  </w:style>
  <w:style w:type="paragraph" w:styleId="Textodebloque">
    <w:name w:val="Block Text"/>
    <w:basedOn w:val="Normal"/>
    <w:rsid w:val="00F53AB1"/>
    <w:pPr>
      <w:tabs>
        <w:tab w:val="left" w:pos="993"/>
      </w:tabs>
      <w:autoSpaceDE w:val="0"/>
      <w:autoSpaceDN w:val="0"/>
      <w:spacing w:line="360" w:lineRule="auto"/>
      <w:ind w:left="-567" w:right="-435"/>
      <w:jc w:val="both"/>
    </w:pPr>
    <w:rPr>
      <w:rFonts w:cs="Arial"/>
      <w:sz w:val="20"/>
      <w:lang w:val="es-ES_tradnl" w:eastAsia="es-ES"/>
    </w:rPr>
  </w:style>
  <w:style w:type="paragraph" w:customStyle="1" w:styleId="Estilo1">
    <w:name w:val="Estilo1"/>
    <w:rsid w:val="00F53AB1"/>
    <w:pPr>
      <w:autoSpaceDE w:val="0"/>
      <w:autoSpaceDN w:val="0"/>
      <w:spacing w:after="0" w:line="240" w:lineRule="auto"/>
      <w:ind w:left="-851"/>
    </w:pPr>
    <w:rPr>
      <w:rFonts w:ascii="Arial" w:eastAsia="Times New Roman" w:hAnsi="Arial" w:cs="Arial"/>
      <w:noProof/>
      <w:sz w:val="18"/>
      <w:szCs w:val="18"/>
      <w:lang w:val="en-US" w:eastAsia="es-ES"/>
    </w:rPr>
  </w:style>
  <w:style w:type="paragraph" w:customStyle="1" w:styleId="epgrafe">
    <w:name w:val="epígrafe"/>
    <w:basedOn w:val="Normal"/>
    <w:rsid w:val="00F53AB1"/>
    <w:pPr>
      <w:widowControl w:val="0"/>
      <w:jc w:val="both"/>
    </w:pPr>
    <w:rPr>
      <w:sz w:val="24"/>
      <w:lang w:val="es-ES_tradnl" w:eastAsia="es-ES"/>
    </w:rPr>
  </w:style>
  <w:style w:type="paragraph" w:customStyle="1" w:styleId="2CarCarCarCarCarCarCarCarCarCar">
    <w:name w:val="2 Car Car Car Car Car Car Car Car Car Car"/>
    <w:basedOn w:val="Normal"/>
    <w:rsid w:val="00F53AB1"/>
    <w:pPr>
      <w:spacing w:after="160" w:line="240" w:lineRule="exact"/>
    </w:pPr>
    <w:rPr>
      <w:rFonts w:ascii="Verdana" w:hAnsi="Verdana"/>
      <w:sz w:val="20"/>
      <w:szCs w:val="24"/>
      <w:lang w:val="en-US"/>
    </w:rPr>
  </w:style>
  <w:style w:type="paragraph" w:customStyle="1" w:styleId="CarCar1">
    <w:name w:val="Car Car1"/>
    <w:basedOn w:val="Normal"/>
    <w:rsid w:val="00F53AB1"/>
    <w:pPr>
      <w:spacing w:after="160" w:line="240" w:lineRule="exact"/>
    </w:pPr>
    <w:rPr>
      <w:rFonts w:ascii="Verdana" w:hAnsi="Verdana"/>
      <w:sz w:val="20"/>
      <w:szCs w:val="24"/>
      <w:lang w:val="en-US"/>
    </w:rPr>
  </w:style>
  <w:style w:type="paragraph" w:customStyle="1" w:styleId="2">
    <w:name w:val="2"/>
    <w:basedOn w:val="Normal"/>
    <w:rsid w:val="00F53AB1"/>
    <w:pPr>
      <w:spacing w:after="160" w:line="240" w:lineRule="exact"/>
    </w:pPr>
    <w:rPr>
      <w:rFonts w:ascii="Verdana" w:hAnsi="Verdana"/>
      <w:sz w:val="20"/>
      <w:szCs w:val="24"/>
      <w:lang w:val="en-US"/>
    </w:rPr>
  </w:style>
  <w:style w:type="paragraph" w:customStyle="1" w:styleId="CarCar1Car">
    <w:name w:val="Car Car1 Car"/>
    <w:basedOn w:val="Normal"/>
    <w:rsid w:val="00F53AB1"/>
    <w:pPr>
      <w:spacing w:after="160" w:line="240" w:lineRule="exact"/>
    </w:pPr>
    <w:rPr>
      <w:rFonts w:ascii="Verdana" w:hAnsi="Verdana"/>
      <w:sz w:val="20"/>
      <w:szCs w:val="24"/>
      <w:lang w:val="en-US"/>
    </w:rPr>
  </w:style>
  <w:style w:type="paragraph" w:customStyle="1" w:styleId="Sangradetindependiente">
    <w:name w:val="Sangría de t. independiente"/>
    <w:basedOn w:val="Normal"/>
    <w:rsid w:val="00F53AB1"/>
    <w:pPr>
      <w:ind w:left="360"/>
      <w:jc w:val="both"/>
    </w:pPr>
    <w:rPr>
      <w:rFonts w:cs="Arial"/>
      <w:szCs w:val="22"/>
      <w:lang w:val="es-ES" w:eastAsia="es-ES"/>
    </w:rPr>
  </w:style>
  <w:style w:type="paragraph" w:styleId="TDC4">
    <w:name w:val="toc 4"/>
    <w:basedOn w:val="Normal"/>
    <w:next w:val="Normal"/>
    <w:autoRedefine/>
    <w:uiPriority w:val="39"/>
    <w:rsid w:val="00F53AB1"/>
    <w:pPr>
      <w:suppressAutoHyphens/>
      <w:ind w:left="480"/>
    </w:pPr>
    <w:rPr>
      <w:rFonts w:asciiTheme="minorHAnsi" w:hAnsiTheme="minorHAnsi" w:cstheme="minorHAnsi"/>
      <w:sz w:val="20"/>
      <w:lang w:val="es-ES_tradnl" w:eastAsia="ar-SA"/>
    </w:rPr>
  </w:style>
  <w:style w:type="paragraph" w:styleId="TDC5">
    <w:name w:val="toc 5"/>
    <w:basedOn w:val="Normal"/>
    <w:next w:val="Normal"/>
    <w:autoRedefine/>
    <w:uiPriority w:val="39"/>
    <w:rsid w:val="00F53AB1"/>
    <w:pPr>
      <w:suppressAutoHyphens/>
      <w:ind w:left="720"/>
    </w:pPr>
    <w:rPr>
      <w:rFonts w:asciiTheme="minorHAnsi" w:hAnsiTheme="minorHAnsi" w:cstheme="minorHAnsi"/>
      <w:sz w:val="20"/>
      <w:lang w:val="es-ES_tradnl" w:eastAsia="ar-SA"/>
    </w:rPr>
  </w:style>
  <w:style w:type="paragraph" w:styleId="TDC6">
    <w:name w:val="toc 6"/>
    <w:basedOn w:val="Normal"/>
    <w:next w:val="Normal"/>
    <w:autoRedefine/>
    <w:uiPriority w:val="39"/>
    <w:rsid w:val="00F53AB1"/>
    <w:pPr>
      <w:suppressAutoHyphens/>
      <w:ind w:left="960"/>
    </w:pPr>
    <w:rPr>
      <w:rFonts w:asciiTheme="minorHAnsi" w:hAnsiTheme="minorHAnsi" w:cstheme="minorHAnsi"/>
      <w:sz w:val="20"/>
      <w:lang w:val="es-ES_tradnl" w:eastAsia="ar-SA"/>
    </w:rPr>
  </w:style>
  <w:style w:type="paragraph" w:styleId="TDC7">
    <w:name w:val="toc 7"/>
    <w:basedOn w:val="Normal"/>
    <w:next w:val="Normal"/>
    <w:autoRedefine/>
    <w:uiPriority w:val="39"/>
    <w:rsid w:val="00F53AB1"/>
    <w:pPr>
      <w:suppressAutoHyphens/>
      <w:ind w:left="1200"/>
    </w:pPr>
    <w:rPr>
      <w:rFonts w:asciiTheme="minorHAnsi" w:hAnsiTheme="minorHAnsi" w:cstheme="minorHAnsi"/>
      <w:sz w:val="20"/>
      <w:lang w:val="es-ES_tradnl" w:eastAsia="ar-SA"/>
    </w:rPr>
  </w:style>
  <w:style w:type="paragraph" w:styleId="TDC8">
    <w:name w:val="toc 8"/>
    <w:basedOn w:val="Normal"/>
    <w:next w:val="Normal"/>
    <w:autoRedefine/>
    <w:uiPriority w:val="39"/>
    <w:rsid w:val="00F53AB1"/>
    <w:pPr>
      <w:suppressAutoHyphens/>
      <w:ind w:left="1440"/>
    </w:pPr>
    <w:rPr>
      <w:rFonts w:asciiTheme="minorHAnsi" w:hAnsiTheme="minorHAnsi" w:cstheme="minorHAnsi"/>
      <w:sz w:val="20"/>
      <w:lang w:val="es-ES_tradnl" w:eastAsia="ar-SA"/>
    </w:rPr>
  </w:style>
  <w:style w:type="paragraph" w:styleId="TDC9">
    <w:name w:val="toc 9"/>
    <w:basedOn w:val="Normal"/>
    <w:next w:val="Normal"/>
    <w:autoRedefine/>
    <w:uiPriority w:val="39"/>
    <w:rsid w:val="00F53AB1"/>
    <w:pPr>
      <w:suppressAutoHyphens/>
      <w:ind w:left="1680"/>
    </w:pPr>
    <w:rPr>
      <w:rFonts w:asciiTheme="minorHAnsi" w:hAnsiTheme="minorHAnsi" w:cstheme="minorHAnsi"/>
      <w:sz w:val="20"/>
      <w:lang w:val="es-ES_tradnl" w:eastAsia="ar-SA"/>
    </w:rPr>
  </w:style>
  <w:style w:type="character" w:customStyle="1" w:styleId="ereflema">
    <w:name w:val="ereflema"/>
    <w:basedOn w:val="Fuentedeprrafopredeter"/>
    <w:rsid w:val="00F53AB1"/>
  </w:style>
  <w:style w:type="character" w:customStyle="1" w:styleId="CarCar">
    <w:name w:val="Car Car"/>
    <w:rsid w:val="00F53AB1"/>
    <w:rPr>
      <w:rFonts w:ascii="Arial" w:hAnsi="Arial"/>
    </w:rPr>
  </w:style>
  <w:style w:type="paragraph" w:customStyle="1" w:styleId="Vietas">
    <w:name w:val="Viñetas"/>
    <w:basedOn w:val="Normal"/>
    <w:rsid w:val="00F53AB1"/>
    <w:pPr>
      <w:numPr>
        <w:numId w:val="1"/>
      </w:numPr>
      <w:jc w:val="both"/>
    </w:pPr>
    <w:rPr>
      <w:sz w:val="24"/>
      <w:lang w:val="es-ES" w:eastAsia="es-ES"/>
    </w:rPr>
  </w:style>
  <w:style w:type="numbering" w:customStyle="1" w:styleId="ttulo2">
    <w:name w:val="título2"/>
    <w:rsid w:val="00F53AB1"/>
    <w:pPr>
      <w:numPr>
        <w:numId w:val="2"/>
      </w:numPr>
    </w:pPr>
  </w:style>
  <w:style w:type="paragraph" w:customStyle="1" w:styleId="FR1">
    <w:name w:val="FR1"/>
    <w:rsid w:val="00F53AB1"/>
    <w:pPr>
      <w:widowControl w:val="0"/>
      <w:autoSpaceDE w:val="0"/>
      <w:autoSpaceDN w:val="0"/>
      <w:adjustRightInd w:val="0"/>
      <w:spacing w:before="220" w:after="0" w:line="240" w:lineRule="auto"/>
      <w:ind w:left="40"/>
      <w:jc w:val="both"/>
    </w:pPr>
    <w:rPr>
      <w:rFonts w:ascii="Arial" w:eastAsia="Times New Roman" w:hAnsi="Arial" w:cs="Arial"/>
      <w:sz w:val="24"/>
      <w:szCs w:val="24"/>
      <w:lang w:val="es-ES_tradnl" w:eastAsia="es-ES"/>
    </w:rPr>
  </w:style>
  <w:style w:type="paragraph" w:customStyle="1" w:styleId="Nivel1">
    <w:name w:val="Nivel 1"/>
    <w:basedOn w:val="Normal"/>
    <w:rsid w:val="00F53AB1"/>
    <w:pPr>
      <w:numPr>
        <w:numId w:val="4"/>
      </w:numPr>
    </w:pPr>
    <w:rPr>
      <w:rFonts w:ascii="Verdana" w:hAnsi="Verdana"/>
      <w:b/>
      <w:sz w:val="24"/>
      <w:lang w:val="es-ES" w:eastAsia="es-ES"/>
    </w:rPr>
  </w:style>
  <w:style w:type="paragraph" w:customStyle="1" w:styleId="Nivel2">
    <w:name w:val="Nivel 2"/>
    <w:basedOn w:val="ndice5"/>
    <w:autoRedefine/>
    <w:rsid w:val="00F53AB1"/>
    <w:pPr>
      <w:suppressAutoHyphens w:val="0"/>
      <w:ind w:left="0" w:firstLine="0"/>
      <w:jc w:val="both"/>
    </w:pPr>
    <w:rPr>
      <w:rFonts w:ascii="Verdana" w:hAnsi="Verdana"/>
      <w:lang w:val="es-ES" w:eastAsia="es-ES"/>
    </w:rPr>
  </w:style>
  <w:style w:type="paragraph" w:customStyle="1" w:styleId="Nivel4a">
    <w:name w:val="Nivel 4a"/>
    <w:basedOn w:val="Normal"/>
    <w:rsid w:val="00F53AB1"/>
    <w:pPr>
      <w:numPr>
        <w:ilvl w:val="3"/>
        <w:numId w:val="3"/>
      </w:numPr>
      <w:pBdr>
        <w:top w:val="single" w:sz="4" w:space="1" w:color="auto"/>
        <w:left w:val="single" w:sz="4" w:space="4" w:color="auto"/>
        <w:bottom w:val="single" w:sz="4" w:space="1" w:color="auto"/>
        <w:right w:val="single" w:sz="4" w:space="4" w:color="auto"/>
      </w:pBdr>
    </w:pPr>
    <w:rPr>
      <w:rFonts w:ascii="Comic Sans MS" w:hAnsi="Comic Sans MS"/>
      <w:b/>
      <w:i/>
      <w:sz w:val="24"/>
      <w:lang w:val="es-ES" w:eastAsia="es-ES"/>
    </w:rPr>
  </w:style>
  <w:style w:type="paragraph" w:customStyle="1" w:styleId="Nivel5a">
    <w:name w:val="Nivel 5a"/>
    <w:basedOn w:val="Normal"/>
    <w:rsid w:val="00F53AB1"/>
    <w:pPr>
      <w:numPr>
        <w:ilvl w:val="4"/>
        <w:numId w:val="3"/>
      </w:numPr>
    </w:pPr>
    <w:rPr>
      <w:rFonts w:ascii="Comic Sans MS" w:hAnsi="Comic Sans MS"/>
      <w:b/>
      <w:sz w:val="24"/>
      <w:lang w:val="es-ES" w:eastAsia="es-ES"/>
    </w:rPr>
  </w:style>
  <w:style w:type="paragraph" w:customStyle="1" w:styleId="NormalP2">
    <w:name w:val="Normal P2"/>
    <w:basedOn w:val="Nivel2"/>
    <w:rsid w:val="00F53AB1"/>
    <w:pPr>
      <w:ind w:left="1134"/>
    </w:pPr>
  </w:style>
  <w:style w:type="paragraph" w:customStyle="1" w:styleId="Nivel2P">
    <w:name w:val="Nivel 2 P"/>
    <w:basedOn w:val="Nivel2"/>
    <w:rsid w:val="00F53AB1"/>
    <w:pPr>
      <w:ind w:left="786" w:firstLine="348"/>
    </w:pPr>
    <w:rPr>
      <w:u w:val="single"/>
    </w:rPr>
  </w:style>
  <w:style w:type="paragraph" w:styleId="ndice5">
    <w:name w:val="index 5"/>
    <w:basedOn w:val="Normal"/>
    <w:next w:val="Normal"/>
    <w:autoRedefine/>
    <w:rsid w:val="00F53AB1"/>
    <w:pPr>
      <w:suppressAutoHyphens/>
      <w:ind w:left="1200" w:hanging="240"/>
    </w:pPr>
    <w:rPr>
      <w:sz w:val="24"/>
      <w:lang w:val="es-ES_tradnl" w:eastAsia="ar-SA"/>
    </w:rPr>
  </w:style>
  <w:style w:type="character" w:customStyle="1" w:styleId="st">
    <w:name w:val="st"/>
    <w:basedOn w:val="Fuentedeprrafopredeter"/>
    <w:rsid w:val="00F53AB1"/>
  </w:style>
  <w:style w:type="paragraph" w:customStyle="1" w:styleId="paragraph">
    <w:name w:val="paragraph"/>
    <w:basedOn w:val="Normal"/>
    <w:next w:val="Normal"/>
    <w:uiPriority w:val="99"/>
    <w:rsid w:val="00F53AB1"/>
    <w:pPr>
      <w:autoSpaceDE w:val="0"/>
      <w:autoSpaceDN w:val="0"/>
      <w:adjustRightInd w:val="0"/>
    </w:pPr>
    <w:rPr>
      <w:rFonts w:ascii="Times New Roman" w:eastAsia="Calibri" w:hAnsi="Times New Roman"/>
      <w:sz w:val="24"/>
      <w:szCs w:val="24"/>
    </w:rPr>
  </w:style>
  <w:style w:type="paragraph" w:customStyle="1" w:styleId="outline">
    <w:name w:val="outline"/>
    <w:basedOn w:val="Normal"/>
    <w:next w:val="Normal"/>
    <w:uiPriority w:val="99"/>
    <w:rsid w:val="00F53AB1"/>
    <w:pPr>
      <w:autoSpaceDE w:val="0"/>
      <w:autoSpaceDN w:val="0"/>
      <w:adjustRightInd w:val="0"/>
    </w:pPr>
    <w:rPr>
      <w:rFonts w:ascii="Times New Roman" w:eastAsia="Calibri" w:hAnsi="Times New Roman"/>
      <w:sz w:val="24"/>
      <w:szCs w:val="24"/>
    </w:rPr>
  </w:style>
  <w:style w:type="paragraph" w:customStyle="1" w:styleId="StandardParagraph">
    <w:name w:val="Standard Paragraph"/>
    <w:basedOn w:val="Normal"/>
    <w:next w:val="Normal"/>
    <w:uiPriority w:val="99"/>
    <w:rsid w:val="00F53AB1"/>
    <w:pPr>
      <w:autoSpaceDE w:val="0"/>
      <w:autoSpaceDN w:val="0"/>
      <w:adjustRightInd w:val="0"/>
    </w:pPr>
    <w:rPr>
      <w:rFonts w:ascii="Times New Roman" w:eastAsia="Calibri" w:hAnsi="Times New Roman"/>
      <w:sz w:val="24"/>
      <w:szCs w:val="24"/>
    </w:rPr>
  </w:style>
  <w:style w:type="paragraph" w:customStyle="1" w:styleId="boldoutline">
    <w:name w:val="bold outline"/>
    <w:basedOn w:val="Normal"/>
    <w:next w:val="Normal"/>
    <w:uiPriority w:val="99"/>
    <w:rsid w:val="00F53AB1"/>
    <w:pPr>
      <w:autoSpaceDE w:val="0"/>
      <w:autoSpaceDN w:val="0"/>
      <w:adjustRightInd w:val="0"/>
    </w:pPr>
    <w:rPr>
      <w:rFonts w:ascii="Times New Roman" w:eastAsia="Calibri" w:hAnsi="Times New Roman"/>
      <w:sz w:val="24"/>
      <w:szCs w:val="24"/>
    </w:rPr>
  </w:style>
  <w:style w:type="paragraph" w:customStyle="1" w:styleId="boldoutlineoutline">
    <w:name w:val="bold outline outline"/>
    <w:basedOn w:val="Default"/>
    <w:next w:val="Default"/>
    <w:uiPriority w:val="99"/>
    <w:rsid w:val="00F53AB1"/>
    <w:rPr>
      <w:rFonts w:ascii="Times New Roman" w:eastAsia="Calibri" w:hAnsi="Times New Roman" w:cs="Times New Roman"/>
      <w:color w:val="auto"/>
    </w:rPr>
  </w:style>
  <w:style w:type="character" w:styleId="Hipervnculovisitado">
    <w:name w:val="FollowedHyperlink"/>
    <w:semiHidden/>
    <w:rsid w:val="00F53AB1"/>
    <w:rPr>
      <w:color w:val="800080"/>
      <w:u w:val="single"/>
    </w:rPr>
  </w:style>
  <w:style w:type="paragraph" w:customStyle="1" w:styleId="TablaCentrado">
    <w:name w:val="Tabla Centrado"/>
    <w:basedOn w:val="Normal"/>
    <w:link w:val="TablaCentradoCar"/>
    <w:autoRedefine/>
    <w:rsid w:val="00F53AB1"/>
    <w:pPr>
      <w:jc w:val="center"/>
    </w:pPr>
    <w:rPr>
      <w:rFonts w:ascii="Microsoft Sans Serif" w:hAnsi="Microsoft Sans Serif"/>
      <w:sz w:val="18"/>
      <w:szCs w:val="18"/>
      <w:lang w:val="es-ES" w:eastAsia="es-ES"/>
    </w:rPr>
  </w:style>
  <w:style w:type="paragraph" w:customStyle="1" w:styleId="ExplTabla">
    <w:name w:val="Expl. Tabla"/>
    <w:basedOn w:val="Normal"/>
    <w:next w:val="Normal"/>
    <w:link w:val="ExplTablaCarCar"/>
    <w:autoRedefine/>
    <w:qFormat/>
    <w:rsid w:val="00F53AB1"/>
    <w:pPr>
      <w:numPr>
        <w:numId w:val="5"/>
      </w:numPr>
      <w:tabs>
        <w:tab w:val="clear" w:pos="2411"/>
      </w:tabs>
      <w:ind w:left="0"/>
      <w:jc w:val="center"/>
    </w:pPr>
    <w:rPr>
      <w:rFonts w:ascii="Tahoma" w:hAnsi="Tahoma"/>
      <w:b/>
      <w:sz w:val="18"/>
      <w:szCs w:val="18"/>
      <w:lang w:val="es-ES" w:eastAsia="es-ES"/>
    </w:rPr>
  </w:style>
  <w:style w:type="paragraph" w:customStyle="1" w:styleId="TablaNegrillaCentrado">
    <w:name w:val="Tabla Negrilla Centrado"/>
    <w:basedOn w:val="Normal"/>
    <w:next w:val="Normal"/>
    <w:link w:val="TablaNegrillaCentradoCar"/>
    <w:rsid w:val="00F53AB1"/>
    <w:pPr>
      <w:jc w:val="center"/>
    </w:pPr>
    <w:rPr>
      <w:rFonts w:ascii="Microsoft Sans Serif" w:hAnsi="Microsoft Sans Serif"/>
      <w:b/>
      <w:sz w:val="18"/>
      <w:szCs w:val="18"/>
      <w:lang w:val="es-ES" w:eastAsia="es-ES"/>
    </w:rPr>
  </w:style>
  <w:style w:type="paragraph" w:customStyle="1" w:styleId="TablaIzquierda">
    <w:name w:val="Tabla Izquierda"/>
    <w:basedOn w:val="Normal"/>
    <w:next w:val="Normal"/>
    <w:link w:val="TablaIzquierdaCar"/>
    <w:autoRedefine/>
    <w:rsid w:val="00F53AB1"/>
    <w:rPr>
      <w:rFonts w:ascii="Microsoft Sans Serif" w:hAnsi="Microsoft Sans Serif"/>
      <w:sz w:val="18"/>
      <w:szCs w:val="18"/>
      <w:lang w:val="es-ES" w:eastAsia="es-ES"/>
    </w:rPr>
  </w:style>
  <w:style w:type="paragraph" w:customStyle="1" w:styleId="TablaNegrillaIzquierda">
    <w:name w:val="Tabla Negrilla Izquierda"/>
    <w:basedOn w:val="Normal"/>
    <w:next w:val="Normal"/>
    <w:autoRedefine/>
    <w:rsid w:val="00F53AB1"/>
    <w:rPr>
      <w:rFonts w:cs="MS Reference Sans Serif"/>
      <w:b/>
      <w:sz w:val="18"/>
      <w:szCs w:val="18"/>
      <w:lang w:val="es-ES" w:eastAsia="es-ES"/>
    </w:rPr>
  </w:style>
  <w:style w:type="paragraph" w:customStyle="1" w:styleId="ReferenciasTexto">
    <w:name w:val="Referencias Texto"/>
    <w:basedOn w:val="Normal"/>
    <w:autoRedefine/>
    <w:rsid w:val="00F53AB1"/>
    <w:pPr>
      <w:overflowPunct w:val="0"/>
      <w:autoSpaceDE w:val="0"/>
      <w:autoSpaceDN w:val="0"/>
      <w:adjustRightInd w:val="0"/>
      <w:spacing w:after="60" w:line="276" w:lineRule="auto"/>
      <w:ind w:left="1134" w:hanging="567"/>
      <w:jc w:val="both"/>
      <w:textAlignment w:val="baseline"/>
    </w:pPr>
    <w:rPr>
      <w:rFonts w:cs="MS Reference Sans Serif"/>
      <w:lang w:val="en-GB" w:eastAsia="es-ES"/>
    </w:rPr>
  </w:style>
  <w:style w:type="paragraph" w:customStyle="1" w:styleId="Referencias">
    <w:name w:val="Referencias"/>
    <w:basedOn w:val="ReferenciasTexto"/>
    <w:rsid w:val="00F53AB1"/>
    <w:pPr>
      <w:spacing w:after="80" w:line="300" w:lineRule="auto"/>
      <w:ind w:left="567"/>
    </w:pPr>
    <w:rPr>
      <w:rFonts w:cs="Times New Roman"/>
    </w:rPr>
  </w:style>
  <w:style w:type="paragraph" w:customStyle="1" w:styleId="TablaCursiva">
    <w:name w:val="Tabla Cursiva"/>
    <w:basedOn w:val="TablaCentrado"/>
    <w:next w:val="Normal"/>
    <w:autoRedefine/>
    <w:rsid w:val="00F53AB1"/>
    <w:rPr>
      <w:i/>
      <w:color w:val="0000FF"/>
    </w:rPr>
  </w:style>
  <w:style w:type="paragraph" w:customStyle="1" w:styleId="ExplFigura">
    <w:name w:val="Expl. Figura"/>
    <w:basedOn w:val="ExplTabla"/>
    <w:next w:val="Normal"/>
    <w:link w:val="ExplFiguraCar"/>
    <w:qFormat/>
    <w:rsid w:val="00F53AB1"/>
    <w:pPr>
      <w:numPr>
        <w:numId w:val="6"/>
      </w:numPr>
      <w:ind w:left="0" w:firstLine="0"/>
    </w:pPr>
  </w:style>
  <w:style w:type="paragraph" w:styleId="Tabladeilustraciones">
    <w:name w:val="table of figures"/>
    <w:basedOn w:val="Normal"/>
    <w:next w:val="Normal"/>
    <w:autoRedefine/>
    <w:uiPriority w:val="99"/>
    <w:rsid w:val="00F53AB1"/>
    <w:pPr>
      <w:tabs>
        <w:tab w:val="left" w:pos="900"/>
        <w:tab w:val="right" w:leader="dot" w:pos="8640"/>
      </w:tabs>
      <w:ind w:left="900" w:right="920" w:hanging="1080"/>
      <w:jc w:val="both"/>
    </w:pPr>
    <w:rPr>
      <w:noProof/>
      <w:sz w:val="20"/>
      <w:szCs w:val="22"/>
      <w:lang w:val="es-ES" w:eastAsia="es-ES"/>
    </w:rPr>
  </w:style>
  <w:style w:type="paragraph" w:customStyle="1" w:styleId="TtuloPrincipal">
    <w:name w:val="Título Principal"/>
    <w:basedOn w:val="Normal"/>
    <w:rsid w:val="00F53AB1"/>
    <w:pPr>
      <w:spacing w:line="420" w:lineRule="exact"/>
      <w:jc w:val="center"/>
    </w:pPr>
    <w:rPr>
      <w:b/>
      <w:smallCaps/>
      <w:sz w:val="40"/>
      <w:szCs w:val="40"/>
      <w:lang w:val="es-ES" w:eastAsia="es-ES"/>
    </w:rPr>
  </w:style>
  <w:style w:type="paragraph" w:customStyle="1" w:styleId="TtuloSecundario">
    <w:name w:val="Título Secundario"/>
    <w:basedOn w:val="Normal"/>
    <w:next w:val="Normal"/>
    <w:link w:val="TtuloSecundarioCar"/>
    <w:rsid w:val="00F53AB1"/>
    <w:pPr>
      <w:jc w:val="center"/>
    </w:pPr>
    <w:rPr>
      <w:rFonts w:ascii="Tahoma" w:hAnsi="Tahoma"/>
      <w:b/>
      <w:caps/>
      <w:szCs w:val="22"/>
      <w:lang w:val="es-ES" w:eastAsia="es-ES"/>
    </w:rPr>
  </w:style>
  <w:style w:type="paragraph" w:customStyle="1" w:styleId="TTULOPORTADA">
    <w:name w:val="TÍTULO PORTADA"/>
    <w:basedOn w:val="Normal"/>
    <w:next w:val="Normal"/>
    <w:rsid w:val="00F53AB1"/>
    <w:pPr>
      <w:jc w:val="center"/>
    </w:pPr>
    <w:rPr>
      <w:b/>
      <w:caps/>
      <w:sz w:val="28"/>
      <w:szCs w:val="28"/>
      <w:lang w:val="es-ES" w:eastAsia="es-ES"/>
    </w:rPr>
  </w:style>
  <w:style w:type="paragraph" w:customStyle="1" w:styleId="CENTRADO">
    <w:name w:val="CENTRADO"/>
    <w:basedOn w:val="Normal"/>
    <w:next w:val="Normal"/>
    <w:rsid w:val="00F53AB1"/>
    <w:pPr>
      <w:jc w:val="center"/>
    </w:pPr>
    <w:rPr>
      <w:szCs w:val="22"/>
      <w:lang w:val="es-ES" w:eastAsia="es-ES"/>
    </w:rPr>
  </w:style>
  <w:style w:type="paragraph" w:customStyle="1" w:styleId="Titleinstitucional">
    <w:name w:val="Title institucional"/>
    <w:basedOn w:val="Normal"/>
    <w:rsid w:val="00F53AB1"/>
    <w:pPr>
      <w:jc w:val="center"/>
    </w:pPr>
    <w:rPr>
      <w:b/>
      <w:smallCaps/>
      <w:snapToGrid w:val="0"/>
      <w:color w:val="808080"/>
      <w:sz w:val="40"/>
      <w:szCs w:val="40"/>
      <w:lang w:val="es-ES_tradnl" w:eastAsia="es-ES"/>
    </w:rPr>
  </w:style>
  <w:style w:type="paragraph" w:customStyle="1" w:styleId="DERECHA">
    <w:name w:val="DERECHA"/>
    <w:basedOn w:val="Normal"/>
    <w:next w:val="Normal"/>
    <w:rsid w:val="00F53AB1"/>
    <w:pPr>
      <w:jc w:val="right"/>
    </w:pPr>
    <w:rPr>
      <w:b/>
      <w:smallCaps/>
      <w:color w:val="333333"/>
      <w:sz w:val="26"/>
      <w:szCs w:val="26"/>
      <w:lang w:val="es-ES" w:eastAsia="es-ES"/>
    </w:rPr>
  </w:style>
  <w:style w:type="paragraph" w:customStyle="1" w:styleId="TtuloResumen">
    <w:name w:val="Título Resumen"/>
    <w:basedOn w:val="TtuloSecundario"/>
    <w:next w:val="Normal"/>
    <w:link w:val="TtuloResumenCar"/>
    <w:rsid w:val="00F53AB1"/>
    <w:rPr>
      <w:sz w:val="32"/>
      <w:szCs w:val="32"/>
    </w:rPr>
  </w:style>
  <w:style w:type="paragraph" w:customStyle="1" w:styleId="TablaNegrillaCentrado8">
    <w:name w:val="Tabla Negrilla Centrado+8"/>
    <w:basedOn w:val="TablaNegrillaCentrado"/>
    <w:next w:val="Normal"/>
    <w:rsid w:val="00F53AB1"/>
    <w:rPr>
      <w:sz w:val="16"/>
    </w:rPr>
  </w:style>
  <w:style w:type="character" w:customStyle="1" w:styleId="TablaNegrillaCentradoCar">
    <w:name w:val="Tabla Negrilla Centrado Car"/>
    <w:link w:val="TablaNegrillaCentrado"/>
    <w:rsid w:val="00F53AB1"/>
    <w:rPr>
      <w:rFonts w:ascii="Microsoft Sans Serif" w:eastAsia="Times New Roman" w:hAnsi="Microsoft Sans Serif" w:cs="Times New Roman"/>
      <w:b/>
      <w:sz w:val="18"/>
      <w:szCs w:val="18"/>
      <w:lang w:val="es-ES" w:eastAsia="es-ES"/>
    </w:rPr>
  </w:style>
  <w:style w:type="paragraph" w:customStyle="1" w:styleId="TtuloContenido">
    <w:name w:val="Título Contenido"/>
    <w:basedOn w:val="Normal"/>
    <w:rsid w:val="00F53AB1"/>
    <w:pPr>
      <w:tabs>
        <w:tab w:val="left" w:pos="142"/>
      </w:tabs>
      <w:spacing w:after="360"/>
      <w:jc w:val="center"/>
    </w:pPr>
    <w:rPr>
      <w:b/>
      <w:caps/>
      <w:szCs w:val="22"/>
      <w:lang w:val="es-ES" w:eastAsia="es-ES"/>
    </w:rPr>
  </w:style>
  <w:style w:type="character" w:customStyle="1" w:styleId="TablaCentradoCar">
    <w:name w:val="Tabla Centrado Car"/>
    <w:link w:val="TablaCentrado"/>
    <w:rsid w:val="00F53AB1"/>
    <w:rPr>
      <w:rFonts w:ascii="Microsoft Sans Serif" w:eastAsia="Times New Roman" w:hAnsi="Microsoft Sans Serif" w:cs="Times New Roman"/>
      <w:sz w:val="18"/>
      <w:szCs w:val="18"/>
      <w:lang w:val="es-ES" w:eastAsia="es-ES"/>
    </w:rPr>
  </w:style>
  <w:style w:type="character" w:customStyle="1" w:styleId="ExplTablaCarCar">
    <w:name w:val="Expl. Tabla Car Car"/>
    <w:link w:val="ExplTabla"/>
    <w:rsid w:val="00F53AB1"/>
    <w:rPr>
      <w:rFonts w:ascii="Tahoma" w:eastAsia="Times New Roman" w:hAnsi="Tahoma" w:cs="Times New Roman"/>
      <w:b/>
      <w:sz w:val="18"/>
      <w:szCs w:val="18"/>
      <w:lang w:val="es-ES" w:eastAsia="es-ES"/>
    </w:rPr>
  </w:style>
  <w:style w:type="character" w:customStyle="1" w:styleId="TablaIzquierdaCar">
    <w:name w:val="Tabla Izquierda Car"/>
    <w:link w:val="TablaIzquierda"/>
    <w:rsid w:val="00F53AB1"/>
    <w:rPr>
      <w:rFonts w:ascii="Microsoft Sans Serif" w:eastAsia="Times New Roman" w:hAnsi="Microsoft Sans Serif" w:cs="Times New Roman"/>
      <w:sz w:val="18"/>
      <w:szCs w:val="18"/>
      <w:lang w:val="es-ES" w:eastAsia="es-ES"/>
    </w:rPr>
  </w:style>
  <w:style w:type="character" w:customStyle="1" w:styleId="ExplFiguraCar">
    <w:name w:val="Expl. Figura Car"/>
    <w:link w:val="ExplFigura"/>
    <w:rsid w:val="00F53AB1"/>
    <w:rPr>
      <w:rFonts w:ascii="Tahoma" w:eastAsia="Times New Roman" w:hAnsi="Tahoma" w:cs="Times New Roman"/>
      <w:b/>
      <w:sz w:val="18"/>
      <w:szCs w:val="18"/>
      <w:lang w:val="es-ES" w:eastAsia="es-ES"/>
    </w:rPr>
  </w:style>
  <w:style w:type="paragraph" w:customStyle="1" w:styleId="ExplTablasinnumeracin">
    <w:name w:val="Expl. Tabla sin numeración"/>
    <w:basedOn w:val="ExplTabla"/>
    <w:qFormat/>
    <w:rsid w:val="00F53AB1"/>
    <w:pPr>
      <w:numPr>
        <w:numId w:val="0"/>
      </w:numPr>
      <w:ind w:left="1134"/>
      <w:jc w:val="both"/>
    </w:pPr>
    <w:rPr>
      <w:smallCaps/>
    </w:rPr>
  </w:style>
  <w:style w:type="paragraph" w:customStyle="1" w:styleId="ExplFiguraAnexo">
    <w:name w:val="Expl. Figura Anexo"/>
    <w:basedOn w:val="Normal"/>
    <w:next w:val="Normal"/>
    <w:rsid w:val="00F53AB1"/>
    <w:pPr>
      <w:numPr>
        <w:numId w:val="7"/>
      </w:numPr>
      <w:tabs>
        <w:tab w:val="left" w:pos="142"/>
      </w:tabs>
      <w:jc w:val="center"/>
    </w:pPr>
    <w:rPr>
      <w:rFonts w:ascii="Microsoft Sans Serif" w:hAnsi="Microsoft Sans Serif"/>
      <w:b/>
      <w:iCs/>
      <w:sz w:val="18"/>
      <w:szCs w:val="24"/>
      <w:lang w:val="es-ES" w:eastAsia="es-ES"/>
    </w:rPr>
  </w:style>
  <w:style w:type="paragraph" w:customStyle="1" w:styleId="Lamina">
    <w:name w:val="Lamina"/>
    <w:basedOn w:val="Normal"/>
    <w:next w:val="Normal"/>
    <w:rsid w:val="00F53AB1"/>
    <w:pPr>
      <w:tabs>
        <w:tab w:val="left" w:pos="142"/>
        <w:tab w:val="num" w:pos="964"/>
      </w:tabs>
      <w:spacing w:line="0" w:lineRule="atLeast"/>
      <w:jc w:val="center"/>
    </w:pPr>
    <w:rPr>
      <w:rFonts w:ascii="Microsoft Sans Serif" w:hAnsi="Microsoft Sans Serif"/>
      <w:b/>
      <w:iCs/>
      <w:sz w:val="20"/>
      <w:lang w:val="es-ES" w:eastAsia="es-ES"/>
    </w:rPr>
  </w:style>
  <w:style w:type="paragraph" w:customStyle="1" w:styleId="TtuloAnexo-Resumen">
    <w:name w:val="Título Anexo-Resumen"/>
    <w:basedOn w:val="TtuloResumen"/>
    <w:link w:val="TtuloAnexo-ResumenCar"/>
    <w:qFormat/>
    <w:rsid w:val="00F53AB1"/>
    <w:rPr>
      <w:rFonts w:ascii="Arial" w:hAnsi="Arial"/>
      <w:sz w:val="22"/>
      <w:szCs w:val="48"/>
    </w:rPr>
  </w:style>
  <w:style w:type="character" w:customStyle="1" w:styleId="TtuloSecundarioCar">
    <w:name w:val="Título Secundario Car"/>
    <w:link w:val="TtuloSecundario"/>
    <w:rsid w:val="00F53AB1"/>
    <w:rPr>
      <w:rFonts w:ascii="Tahoma" w:eastAsia="Times New Roman" w:hAnsi="Tahoma" w:cs="Times New Roman"/>
      <w:b/>
      <w:caps/>
      <w:lang w:val="es-ES" w:eastAsia="es-ES"/>
    </w:rPr>
  </w:style>
  <w:style w:type="character" w:customStyle="1" w:styleId="TtuloResumenCar">
    <w:name w:val="Título Resumen Car"/>
    <w:link w:val="TtuloResumen"/>
    <w:rsid w:val="00F53AB1"/>
    <w:rPr>
      <w:rFonts w:ascii="Tahoma" w:eastAsia="Times New Roman" w:hAnsi="Tahoma" w:cs="Times New Roman"/>
      <w:b/>
      <w:caps/>
      <w:sz w:val="32"/>
      <w:szCs w:val="32"/>
      <w:lang w:val="es-ES" w:eastAsia="es-ES"/>
    </w:rPr>
  </w:style>
  <w:style w:type="character" w:customStyle="1" w:styleId="TtuloAnexo-ResumenCar">
    <w:name w:val="Título Anexo-Resumen Car"/>
    <w:link w:val="TtuloAnexo-Resumen"/>
    <w:rsid w:val="00F53AB1"/>
    <w:rPr>
      <w:rFonts w:ascii="Arial" w:eastAsia="Times New Roman" w:hAnsi="Arial" w:cs="Times New Roman"/>
      <w:b/>
      <w:caps/>
      <w:szCs w:val="48"/>
      <w:lang w:val="es-ES" w:eastAsia="es-ES"/>
    </w:rPr>
  </w:style>
  <w:style w:type="paragraph" w:styleId="Ttulo">
    <w:name w:val="Title"/>
    <w:basedOn w:val="Normal"/>
    <w:next w:val="Normal"/>
    <w:link w:val="TtuloCar"/>
    <w:uiPriority w:val="10"/>
    <w:qFormat/>
    <w:rsid w:val="00F53AB1"/>
    <w:pPr>
      <w:spacing w:before="240" w:after="60"/>
      <w:jc w:val="center"/>
      <w:outlineLvl w:val="0"/>
    </w:pPr>
    <w:rPr>
      <w:rFonts w:ascii="Cambria" w:hAnsi="Cambria"/>
      <w:b/>
      <w:bCs/>
      <w:kern w:val="28"/>
      <w:sz w:val="32"/>
      <w:szCs w:val="32"/>
      <w:lang w:val="es-ES" w:eastAsia="es-ES"/>
    </w:rPr>
  </w:style>
  <w:style w:type="character" w:customStyle="1" w:styleId="TtuloCar">
    <w:name w:val="Título Car"/>
    <w:basedOn w:val="Fuentedeprrafopredeter"/>
    <w:link w:val="Ttulo"/>
    <w:uiPriority w:val="10"/>
    <w:rsid w:val="00F53AB1"/>
    <w:rPr>
      <w:rFonts w:ascii="Cambria" w:eastAsia="Times New Roman" w:hAnsi="Cambria" w:cs="Times New Roman"/>
      <w:b/>
      <w:bCs/>
      <w:kern w:val="28"/>
      <w:sz w:val="32"/>
      <w:szCs w:val="32"/>
      <w:lang w:val="es-ES" w:eastAsia="es-ES"/>
    </w:rPr>
  </w:style>
  <w:style w:type="paragraph" w:customStyle="1" w:styleId="Listavistosa-nfasis11">
    <w:name w:val="Lista vistosa - Énfasis 11"/>
    <w:basedOn w:val="Normal"/>
    <w:qFormat/>
    <w:rsid w:val="00F53AB1"/>
    <w:pPr>
      <w:ind w:left="708"/>
    </w:pPr>
    <w:rPr>
      <w:rFonts w:ascii="Times New Roman" w:hAnsi="Times New Roman"/>
      <w:sz w:val="20"/>
      <w:lang w:val="es-ES" w:eastAsia="es-ES"/>
    </w:rPr>
  </w:style>
  <w:style w:type="character" w:customStyle="1" w:styleId="postbody1">
    <w:name w:val="postbody1"/>
    <w:rsid w:val="00F53AB1"/>
    <w:rPr>
      <w:sz w:val="18"/>
      <w:szCs w:val="18"/>
    </w:rPr>
  </w:style>
  <w:style w:type="paragraph" w:styleId="ndice1">
    <w:name w:val="index 1"/>
    <w:basedOn w:val="Normal"/>
    <w:next w:val="Normal"/>
    <w:autoRedefine/>
    <w:uiPriority w:val="99"/>
    <w:semiHidden/>
    <w:unhideWhenUsed/>
    <w:rsid w:val="00F53AB1"/>
    <w:pPr>
      <w:suppressAutoHyphens/>
      <w:ind w:left="240" w:hanging="240"/>
    </w:pPr>
    <w:rPr>
      <w:sz w:val="24"/>
      <w:lang w:val="es-ES_tradnl" w:eastAsia="ar-SA"/>
    </w:rPr>
  </w:style>
  <w:style w:type="paragraph" w:styleId="Descripcin">
    <w:name w:val="caption"/>
    <w:basedOn w:val="Normal"/>
    <w:next w:val="Normal"/>
    <w:unhideWhenUsed/>
    <w:qFormat/>
    <w:rsid w:val="00F53AB1"/>
    <w:pPr>
      <w:suppressAutoHyphens/>
      <w:spacing w:after="200"/>
    </w:pPr>
    <w:rPr>
      <w:i/>
      <w:iCs/>
      <w:color w:val="1F497D" w:themeColor="text2"/>
      <w:sz w:val="18"/>
      <w:szCs w:val="18"/>
      <w:lang w:val="es-ES_tradnl" w:eastAsia="ar-SA"/>
    </w:rPr>
  </w:style>
  <w:style w:type="paragraph" w:styleId="ndice2">
    <w:name w:val="index 2"/>
    <w:basedOn w:val="Normal"/>
    <w:next w:val="Normal"/>
    <w:autoRedefine/>
    <w:uiPriority w:val="99"/>
    <w:semiHidden/>
    <w:unhideWhenUsed/>
    <w:rsid w:val="00F53AB1"/>
    <w:pPr>
      <w:suppressAutoHyphens/>
      <w:ind w:left="480" w:hanging="240"/>
    </w:pPr>
    <w:rPr>
      <w:sz w:val="24"/>
      <w:lang w:val="es-ES_tradnl" w:eastAsia="ar-SA"/>
    </w:rPr>
  </w:style>
  <w:style w:type="character" w:customStyle="1" w:styleId="Listavistosa-nfasis1Car">
    <w:name w:val="Lista vistosa - Énfasis 1 Car"/>
    <w:link w:val="Listavistosa-nfasis1"/>
    <w:uiPriority w:val="34"/>
    <w:rsid w:val="00F53AB1"/>
    <w:rPr>
      <w:sz w:val="22"/>
      <w:szCs w:val="22"/>
      <w:lang w:val="es-ES" w:eastAsia="en-US"/>
    </w:rPr>
  </w:style>
  <w:style w:type="table" w:styleId="Listavistosa-nfasis1">
    <w:name w:val="Colorful List Accent 1"/>
    <w:basedOn w:val="Tablanormal"/>
    <w:link w:val="Listavistosa-nfasis1Car"/>
    <w:uiPriority w:val="34"/>
    <w:unhideWhenUsed/>
    <w:rsid w:val="00F53AB1"/>
    <w:pPr>
      <w:spacing w:after="0" w:line="240" w:lineRule="auto"/>
    </w:pPr>
    <w:rPr>
      <w:lang w:val="es-E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73">
      <w:bodyDiv w:val="1"/>
      <w:marLeft w:val="0"/>
      <w:marRight w:val="0"/>
      <w:marTop w:val="0"/>
      <w:marBottom w:val="0"/>
      <w:divBdr>
        <w:top w:val="none" w:sz="0" w:space="0" w:color="auto"/>
        <w:left w:val="none" w:sz="0" w:space="0" w:color="auto"/>
        <w:bottom w:val="none" w:sz="0" w:space="0" w:color="auto"/>
        <w:right w:val="none" w:sz="0" w:space="0" w:color="auto"/>
      </w:divBdr>
    </w:div>
    <w:div w:id="60760301">
      <w:bodyDiv w:val="1"/>
      <w:marLeft w:val="0"/>
      <w:marRight w:val="0"/>
      <w:marTop w:val="0"/>
      <w:marBottom w:val="0"/>
      <w:divBdr>
        <w:top w:val="none" w:sz="0" w:space="0" w:color="auto"/>
        <w:left w:val="none" w:sz="0" w:space="0" w:color="auto"/>
        <w:bottom w:val="none" w:sz="0" w:space="0" w:color="auto"/>
        <w:right w:val="none" w:sz="0" w:space="0" w:color="auto"/>
      </w:divBdr>
      <w:divsChild>
        <w:div w:id="661662457">
          <w:marLeft w:val="0"/>
          <w:marRight w:val="0"/>
          <w:marTop w:val="0"/>
          <w:marBottom w:val="0"/>
          <w:divBdr>
            <w:top w:val="none" w:sz="0" w:space="0" w:color="auto"/>
            <w:left w:val="none" w:sz="0" w:space="0" w:color="auto"/>
            <w:bottom w:val="none" w:sz="0" w:space="0" w:color="auto"/>
            <w:right w:val="none" w:sz="0" w:space="0" w:color="auto"/>
          </w:divBdr>
        </w:div>
        <w:div w:id="969819284">
          <w:marLeft w:val="0"/>
          <w:marRight w:val="0"/>
          <w:marTop w:val="0"/>
          <w:marBottom w:val="0"/>
          <w:divBdr>
            <w:top w:val="none" w:sz="0" w:space="0" w:color="auto"/>
            <w:left w:val="none" w:sz="0" w:space="0" w:color="auto"/>
            <w:bottom w:val="none" w:sz="0" w:space="0" w:color="auto"/>
            <w:right w:val="none" w:sz="0" w:space="0" w:color="auto"/>
          </w:divBdr>
        </w:div>
        <w:div w:id="1983803867">
          <w:marLeft w:val="0"/>
          <w:marRight w:val="0"/>
          <w:marTop w:val="0"/>
          <w:marBottom w:val="0"/>
          <w:divBdr>
            <w:top w:val="none" w:sz="0" w:space="0" w:color="auto"/>
            <w:left w:val="none" w:sz="0" w:space="0" w:color="auto"/>
            <w:bottom w:val="none" w:sz="0" w:space="0" w:color="auto"/>
            <w:right w:val="none" w:sz="0" w:space="0" w:color="auto"/>
          </w:divBdr>
        </w:div>
        <w:div w:id="379129584">
          <w:marLeft w:val="0"/>
          <w:marRight w:val="0"/>
          <w:marTop w:val="0"/>
          <w:marBottom w:val="0"/>
          <w:divBdr>
            <w:top w:val="none" w:sz="0" w:space="0" w:color="auto"/>
            <w:left w:val="none" w:sz="0" w:space="0" w:color="auto"/>
            <w:bottom w:val="none" w:sz="0" w:space="0" w:color="auto"/>
            <w:right w:val="none" w:sz="0" w:space="0" w:color="auto"/>
          </w:divBdr>
        </w:div>
        <w:div w:id="435902539">
          <w:marLeft w:val="0"/>
          <w:marRight w:val="0"/>
          <w:marTop w:val="0"/>
          <w:marBottom w:val="0"/>
          <w:divBdr>
            <w:top w:val="none" w:sz="0" w:space="0" w:color="auto"/>
            <w:left w:val="none" w:sz="0" w:space="0" w:color="auto"/>
            <w:bottom w:val="none" w:sz="0" w:space="0" w:color="auto"/>
            <w:right w:val="none" w:sz="0" w:space="0" w:color="auto"/>
          </w:divBdr>
        </w:div>
        <w:div w:id="1426419697">
          <w:marLeft w:val="0"/>
          <w:marRight w:val="0"/>
          <w:marTop w:val="0"/>
          <w:marBottom w:val="0"/>
          <w:divBdr>
            <w:top w:val="none" w:sz="0" w:space="0" w:color="auto"/>
            <w:left w:val="none" w:sz="0" w:space="0" w:color="auto"/>
            <w:bottom w:val="none" w:sz="0" w:space="0" w:color="auto"/>
            <w:right w:val="none" w:sz="0" w:space="0" w:color="auto"/>
          </w:divBdr>
        </w:div>
        <w:div w:id="462772000">
          <w:marLeft w:val="0"/>
          <w:marRight w:val="0"/>
          <w:marTop w:val="0"/>
          <w:marBottom w:val="0"/>
          <w:divBdr>
            <w:top w:val="none" w:sz="0" w:space="0" w:color="auto"/>
            <w:left w:val="none" w:sz="0" w:space="0" w:color="auto"/>
            <w:bottom w:val="none" w:sz="0" w:space="0" w:color="auto"/>
            <w:right w:val="none" w:sz="0" w:space="0" w:color="auto"/>
          </w:divBdr>
        </w:div>
        <w:div w:id="72706592">
          <w:marLeft w:val="0"/>
          <w:marRight w:val="0"/>
          <w:marTop w:val="0"/>
          <w:marBottom w:val="0"/>
          <w:divBdr>
            <w:top w:val="none" w:sz="0" w:space="0" w:color="auto"/>
            <w:left w:val="none" w:sz="0" w:space="0" w:color="auto"/>
            <w:bottom w:val="none" w:sz="0" w:space="0" w:color="auto"/>
            <w:right w:val="none" w:sz="0" w:space="0" w:color="auto"/>
          </w:divBdr>
        </w:div>
      </w:divsChild>
    </w:div>
    <w:div w:id="798574868">
      <w:bodyDiv w:val="1"/>
      <w:marLeft w:val="0"/>
      <w:marRight w:val="0"/>
      <w:marTop w:val="0"/>
      <w:marBottom w:val="0"/>
      <w:divBdr>
        <w:top w:val="none" w:sz="0" w:space="0" w:color="auto"/>
        <w:left w:val="none" w:sz="0" w:space="0" w:color="auto"/>
        <w:bottom w:val="none" w:sz="0" w:space="0" w:color="auto"/>
        <w:right w:val="none" w:sz="0" w:space="0" w:color="auto"/>
      </w:divBdr>
    </w:div>
    <w:div w:id="827751287">
      <w:bodyDiv w:val="1"/>
      <w:marLeft w:val="0"/>
      <w:marRight w:val="0"/>
      <w:marTop w:val="0"/>
      <w:marBottom w:val="0"/>
      <w:divBdr>
        <w:top w:val="none" w:sz="0" w:space="0" w:color="auto"/>
        <w:left w:val="none" w:sz="0" w:space="0" w:color="auto"/>
        <w:bottom w:val="none" w:sz="0" w:space="0" w:color="auto"/>
        <w:right w:val="none" w:sz="0" w:space="0" w:color="auto"/>
      </w:divBdr>
    </w:div>
    <w:div w:id="856963887">
      <w:bodyDiv w:val="1"/>
      <w:marLeft w:val="0"/>
      <w:marRight w:val="0"/>
      <w:marTop w:val="0"/>
      <w:marBottom w:val="0"/>
      <w:divBdr>
        <w:top w:val="none" w:sz="0" w:space="0" w:color="auto"/>
        <w:left w:val="none" w:sz="0" w:space="0" w:color="auto"/>
        <w:bottom w:val="none" w:sz="0" w:space="0" w:color="auto"/>
        <w:right w:val="none" w:sz="0" w:space="0" w:color="auto"/>
      </w:divBdr>
    </w:div>
    <w:div w:id="1109202188">
      <w:bodyDiv w:val="1"/>
      <w:marLeft w:val="0"/>
      <w:marRight w:val="0"/>
      <w:marTop w:val="0"/>
      <w:marBottom w:val="0"/>
      <w:divBdr>
        <w:top w:val="none" w:sz="0" w:space="0" w:color="auto"/>
        <w:left w:val="none" w:sz="0" w:space="0" w:color="auto"/>
        <w:bottom w:val="none" w:sz="0" w:space="0" w:color="auto"/>
        <w:right w:val="none" w:sz="0" w:space="0" w:color="auto"/>
      </w:divBdr>
      <w:divsChild>
        <w:div w:id="115101420">
          <w:marLeft w:val="0"/>
          <w:marRight w:val="0"/>
          <w:marTop w:val="0"/>
          <w:marBottom w:val="0"/>
          <w:divBdr>
            <w:top w:val="none" w:sz="0" w:space="0" w:color="auto"/>
            <w:left w:val="none" w:sz="0" w:space="0" w:color="auto"/>
            <w:bottom w:val="none" w:sz="0" w:space="0" w:color="auto"/>
            <w:right w:val="none" w:sz="0" w:space="0" w:color="auto"/>
          </w:divBdr>
          <w:divsChild>
            <w:div w:id="516625880">
              <w:marLeft w:val="0"/>
              <w:marRight w:val="0"/>
              <w:marTop w:val="0"/>
              <w:marBottom w:val="0"/>
              <w:divBdr>
                <w:top w:val="none" w:sz="0" w:space="0" w:color="auto"/>
                <w:left w:val="none" w:sz="0" w:space="0" w:color="auto"/>
                <w:bottom w:val="none" w:sz="0" w:space="0" w:color="auto"/>
                <w:right w:val="none" w:sz="0" w:space="0" w:color="auto"/>
              </w:divBdr>
              <w:divsChild>
                <w:div w:id="2032951807">
                  <w:marLeft w:val="0"/>
                  <w:marRight w:val="0"/>
                  <w:marTop w:val="525"/>
                  <w:marBottom w:val="0"/>
                  <w:divBdr>
                    <w:top w:val="none" w:sz="0" w:space="0" w:color="auto"/>
                    <w:left w:val="none" w:sz="0" w:space="0" w:color="auto"/>
                    <w:bottom w:val="none" w:sz="0" w:space="0" w:color="auto"/>
                    <w:right w:val="none" w:sz="0" w:space="0" w:color="auto"/>
                  </w:divBdr>
                  <w:divsChild>
                    <w:div w:id="4475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45358">
      <w:bodyDiv w:val="1"/>
      <w:marLeft w:val="0"/>
      <w:marRight w:val="0"/>
      <w:marTop w:val="0"/>
      <w:marBottom w:val="0"/>
      <w:divBdr>
        <w:top w:val="none" w:sz="0" w:space="0" w:color="auto"/>
        <w:left w:val="none" w:sz="0" w:space="0" w:color="auto"/>
        <w:bottom w:val="none" w:sz="0" w:space="0" w:color="auto"/>
        <w:right w:val="none" w:sz="0" w:space="0" w:color="auto"/>
      </w:divBdr>
      <w:divsChild>
        <w:div w:id="1678457969">
          <w:marLeft w:val="0"/>
          <w:marRight w:val="0"/>
          <w:marTop w:val="0"/>
          <w:marBottom w:val="0"/>
          <w:divBdr>
            <w:top w:val="none" w:sz="0" w:space="0" w:color="auto"/>
            <w:left w:val="none" w:sz="0" w:space="0" w:color="auto"/>
            <w:bottom w:val="none" w:sz="0" w:space="0" w:color="auto"/>
            <w:right w:val="none" w:sz="0" w:space="0" w:color="auto"/>
          </w:divBdr>
          <w:divsChild>
            <w:div w:id="60951382">
              <w:marLeft w:val="0"/>
              <w:marRight w:val="0"/>
              <w:marTop w:val="0"/>
              <w:marBottom w:val="0"/>
              <w:divBdr>
                <w:top w:val="none" w:sz="0" w:space="0" w:color="auto"/>
                <w:left w:val="none" w:sz="0" w:space="0" w:color="auto"/>
                <w:bottom w:val="none" w:sz="0" w:space="0" w:color="auto"/>
                <w:right w:val="none" w:sz="0" w:space="0" w:color="auto"/>
              </w:divBdr>
              <w:divsChild>
                <w:div w:id="561990251">
                  <w:marLeft w:val="0"/>
                  <w:marRight w:val="0"/>
                  <w:marTop w:val="525"/>
                  <w:marBottom w:val="0"/>
                  <w:divBdr>
                    <w:top w:val="none" w:sz="0" w:space="0" w:color="auto"/>
                    <w:left w:val="none" w:sz="0" w:space="0" w:color="auto"/>
                    <w:bottom w:val="none" w:sz="0" w:space="0" w:color="auto"/>
                    <w:right w:val="none" w:sz="0" w:space="0" w:color="auto"/>
                  </w:divBdr>
                  <w:divsChild>
                    <w:div w:id="3765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16703">
      <w:bodyDiv w:val="1"/>
      <w:marLeft w:val="0"/>
      <w:marRight w:val="0"/>
      <w:marTop w:val="0"/>
      <w:marBottom w:val="0"/>
      <w:divBdr>
        <w:top w:val="none" w:sz="0" w:space="0" w:color="auto"/>
        <w:left w:val="none" w:sz="0" w:space="0" w:color="auto"/>
        <w:bottom w:val="none" w:sz="0" w:space="0" w:color="auto"/>
        <w:right w:val="none" w:sz="0" w:space="0" w:color="auto"/>
      </w:divBdr>
    </w:div>
    <w:div w:id="1775635272">
      <w:bodyDiv w:val="1"/>
      <w:marLeft w:val="0"/>
      <w:marRight w:val="0"/>
      <w:marTop w:val="0"/>
      <w:marBottom w:val="0"/>
      <w:divBdr>
        <w:top w:val="none" w:sz="0" w:space="0" w:color="auto"/>
        <w:left w:val="none" w:sz="0" w:space="0" w:color="auto"/>
        <w:bottom w:val="none" w:sz="0" w:space="0" w:color="auto"/>
        <w:right w:val="none" w:sz="0" w:space="0" w:color="auto"/>
      </w:divBdr>
      <w:divsChild>
        <w:div w:id="1219853243">
          <w:marLeft w:val="0"/>
          <w:marRight w:val="0"/>
          <w:marTop w:val="0"/>
          <w:marBottom w:val="0"/>
          <w:divBdr>
            <w:top w:val="none" w:sz="0" w:space="0" w:color="auto"/>
            <w:left w:val="none" w:sz="0" w:space="0" w:color="auto"/>
            <w:bottom w:val="none" w:sz="0" w:space="0" w:color="auto"/>
            <w:right w:val="none" w:sz="0" w:space="0" w:color="auto"/>
          </w:divBdr>
          <w:divsChild>
            <w:div w:id="1809010335">
              <w:marLeft w:val="0"/>
              <w:marRight w:val="0"/>
              <w:marTop w:val="0"/>
              <w:marBottom w:val="0"/>
              <w:divBdr>
                <w:top w:val="none" w:sz="0" w:space="0" w:color="auto"/>
                <w:left w:val="none" w:sz="0" w:space="0" w:color="auto"/>
                <w:bottom w:val="none" w:sz="0" w:space="0" w:color="auto"/>
                <w:right w:val="none" w:sz="0" w:space="0" w:color="auto"/>
              </w:divBdr>
              <w:divsChild>
                <w:div w:id="2080976985">
                  <w:marLeft w:val="0"/>
                  <w:marRight w:val="0"/>
                  <w:marTop w:val="525"/>
                  <w:marBottom w:val="0"/>
                  <w:divBdr>
                    <w:top w:val="none" w:sz="0" w:space="0" w:color="auto"/>
                    <w:left w:val="none" w:sz="0" w:space="0" w:color="auto"/>
                    <w:bottom w:val="none" w:sz="0" w:space="0" w:color="auto"/>
                    <w:right w:val="none" w:sz="0" w:space="0" w:color="auto"/>
                  </w:divBdr>
                  <w:divsChild>
                    <w:div w:id="5014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95387">
      <w:bodyDiv w:val="1"/>
      <w:marLeft w:val="0"/>
      <w:marRight w:val="0"/>
      <w:marTop w:val="0"/>
      <w:marBottom w:val="0"/>
      <w:divBdr>
        <w:top w:val="none" w:sz="0" w:space="0" w:color="auto"/>
        <w:left w:val="none" w:sz="0" w:space="0" w:color="auto"/>
        <w:bottom w:val="none" w:sz="0" w:space="0" w:color="auto"/>
        <w:right w:val="none" w:sz="0" w:space="0" w:color="auto"/>
      </w:divBdr>
    </w:div>
    <w:div w:id="1907186924">
      <w:bodyDiv w:val="1"/>
      <w:marLeft w:val="0"/>
      <w:marRight w:val="0"/>
      <w:marTop w:val="0"/>
      <w:marBottom w:val="0"/>
      <w:divBdr>
        <w:top w:val="none" w:sz="0" w:space="0" w:color="auto"/>
        <w:left w:val="none" w:sz="0" w:space="0" w:color="auto"/>
        <w:bottom w:val="none" w:sz="0" w:space="0" w:color="auto"/>
        <w:right w:val="none" w:sz="0" w:space="0" w:color="auto"/>
      </w:divBdr>
    </w:div>
    <w:div w:id="2045983241">
      <w:bodyDiv w:val="1"/>
      <w:marLeft w:val="0"/>
      <w:marRight w:val="0"/>
      <w:marTop w:val="0"/>
      <w:marBottom w:val="0"/>
      <w:divBdr>
        <w:top w:val="none" w:sz="0" w:space="0" w:color="auto"/>
        <w:left w:val="none" w:sz="0" w:space="0" w:color="auto"/>
        <w:bottom w:val="none" w:sz="0" w:space="0" w:color="auto"/>
        <w:right w:val="none" w:sz="0" w:space="0" w:color="auto"/>
      </w:divBdr>
    </w:div>
    <w:div w:id="209959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enos@contaduria.gov.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8DB8F-6FE9-48C2-9246-47C7BB51A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100</Pages>
  <Words>31256</Words>
  <Characters>171910</Characters>
  <Application>Microsoft Office Word</Application>
  <DocSecurity>0</DocSecurity>
  <Lines>1432</Lines>
  <Paragraphs>405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Katherine Lozada</cp:lastModifiedBy>
  <cp:revision>65</cp:revision>
  <cp:lastPrinted>2015-11-04T20:54:00Z</cp:lastPrinted>
  <dcterms:created xsi:type="dcterms:W3CDTF">2018-09-25T16:07:00Z</dcterms:created>
  <dcterms:modified xsi:type="dcterms:W3CDTF">2026-02-02T05:20:00Z</dcterms:modified>
</cp:coreProperties>
</file>